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AAD392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937F7">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DB5BC7A" w:rsidR="003A564C" w:rsidRPr="005164AA" w:rsidRDefault="00E937F7" w:rsidP="00657908">
      <w:pPr>
        <w:spacing w:before="120" w:after="120" w:line="360" w:lineRule="auto"/>
        <w:jc w:val="both"/>
        <w:rPr>
          <w:rFonts w:eastAsiaTheme="minorHAnsi"/>
          <w:b/>
          <w:bCs/>
          <w:color w:val="000000"/>
          <w:sz w:val="28"/>
          <w:szCs w:val="28"/>
          <w:lang w:eastAsia="en-US"/>
        </w:rPr>
      </w:pPr>
      <w:bookmarkStart w:id="0" w:name="_Hlk103241831"/>
      <w:bookmarkStart w:id="1" w:name="_Hlk84916464"/>
      <w:bookmarkStart w:id="2" w:name="_Hlk84923253"/>
      <w:bookmarkStart w:id="3" w:name="_Hlk84963236"/>
      <w:bookmarkStart w:id="4" w:name="_Hlk92613764"/>
      <w:bookmarkStart w:id="5" w:name="_Hlk93254775"/>
      <w:r w:rsidRPr="00E937F7">
        <w:rPr>
          <w:b/>
          <w:bCs/>
          <w:color w:val="000000"/>
          <w:sz w:val="28"/>
          <w:szCs w:val="28"/>
        </w:rPr>
        <w:t>FORMAS ANORMALES DE TERMINACIÓN DEL PROCESO: LA RENUNCIA.</w:t>
      </w:r>
      <w:bookmarkEnd w:id="0"/>
      <w:r w:rsidRPr="00E937F7">
        <w:rPr>
          <w:b/>
          <w:bCs/>
          <w:color w:val="000000"/>
          <w:sz w:val="28"/>
          <w:szCs w:val="28"/>
        </w:rPr>
        <w:t xml:space="preserve"> EL DESISTIMIENTO. EL ALLANAMIENTO. LA TRANSACCIÓN. LA SATISFACCIÓN EXTRAPROCESAL. LA CARENCIA SOBREVENIDA DE OBJETO. ESPECIAL REFERENCIA A LA DISPOSICIÓN DE LA ACCIÓN PROCESAL POR EL ABOGADO DEL ESTADO. LA CADUCIDAD. LA SUSPENSIÓN DEL PROCESO; LA SUSPENSIÓN DEL CURSO DE LOS AUTOS PARA ELEVAR CONSULTA A LA ABOGACÍA GENERAL DEL ESTADO.</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9AA4382" w:rsidR="00C35A6D" w:rsidRPr="007B1C43" w:rsidRDefault="00E937F7" w:rsidP="00AB080F">
      <w:pPr>
        <w:spacing w:before="120" w:after="120" w:line="360" w:lineRule="auto"/>
        <w:jc w:val="both"/>
        <w:rPr>
          <w:spacing w:val="-3"/>
        </w:rPr>
      </w:pPr>
      <w:r w:rsidRPr="00E937F7">
        <w:rPr>
          <w:b/>
          <w:bCs/>
          <w:spacing w:val="-3"/>
        </w:rPr>
        <w:t>FORMAS ANORMALES DE TERMINACIÓN DEL PROCESO: LA RENUNCIA</w:t>
      </w:r>
      <w:r w:rsidR="009F36CA">
        <w:rPr>
          <w:b/>
          <w:bCs/>
          <w:spacing w:val="-3"/>
        </w:rPr>
        <w:t>.</w:t>
      </w:r>
    </w:p>
    <w:p w14:paraId="2E6136AE" w14:textId="0368DAE9" w:rsidR="002D568C" w:rsidRPr="002D568C" w:rsidRDefault="002D568C" w:rsidP="00656C8D">
      <w:pPr>
        <w:pStyle w:val="Prrafodelista"/>
        <w:spacing w:before="120" w:after="120" w:line="360" w:lineRule="auto"/>
        <w:ind w:left="0" w:firstLine="709"/>
        <w:jc w:val="both"/>
        <w:rPr>
          <w:spacing w:val="-3"/>
        </w:rPr>
      </w:pPr>
      <w:r w:rsidRPr="002D568C">
        <w:rPr>
          <w:spacing w:val="-3"/>
        </w:rPr>
        <w:t>La forma</w:t>
      </w:r>
      <w:r w:rsidR="00656C8D">
        <w:rPr>
          <w:spacing w:val="-3"/>
        </w:rPr>
        <w:t xml:space="preserve"> norma</w:t>
      </w:r>
      <w:r w:rsidR="008B5D74">
        <w:rPr>
          <w:spacing w:val="-3"/>
        </w:rPr>
        <w:t>l</w:t>
      </w:r>
      <w:r w:rsidR="00656C8D">
        <w:rPr>
          <w:spacing w:val="-3"/>
        </w:rPr>
        <w:t xml:space="preserve"> de terminación del proceso es la sentencia, estudiada en el tema anterior del programa. Sin embargo, existen casos en los que el proceso termina sin sentencia, </w:t>
      </w:r>
      <w:r w:rsidR="00750673">
        <w:rPr>
          <w:spacing w:val="-3"/>
        </w:rPr>
        <w:t>apareciendo así las formas anormales de terminación del proceso</w:t>
      </w:r>
      <w:r w:rsidR="00273C35">
        <w:rPr>
          <w:spacing w:val="-3"/>
        </w:rPr>
        <w:t xml:space="preserve">, </w:t>
      </w:r>
      <w:r w:rsidR="00974E8A">
        <w:rPr>
          <w:spacing w:val="-3"/>
        </w:rPr>
        <w:t>las cuales pueden clasificarse según la terminación se produzca:</w:t>
      </w:r>
    </w:p>
    <w:p w14:paraId="2297552E" w14:textId="35E07B30" w:rsidR="002D568C" w:rsidRPr="002D568C" w:rsidRDefault="00974E8A"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la voluntad de las partes</w:t>
      </w:r>
      <w:r>
        <w:rPr>
          <w:spacing w:val="-3"/>
        </w:rPr>
        <w:t>, se</w:t>
      </w:r>
      <w:r w:rsidR="00081916">
        <w:rPr>
          <w:spacing w:val="-3"/>
        </w:rPr>
        <w:t>a</w:t>
      </w:r>
      <w:r>
        <w:rPr>
          <w:spacing w:val="-3"/>
        </w:rPr>
        <w:t xml:space="preserve"> unila</w:t>
      </w:r>
      <w:r w:rsidR="00081916">
        <w:rPr>
          <w:spacing w:val="-3"/>
        </w:rPr>
        <w:t>teral, apareciendo así la re</w:t>
      </w:r>
      <w:r w:rsidR="00E27102">
        <w:rPr>
          <w:spacing w:val="-3"/>
        </w:rPr>
        <w:t>n</w:t>
      </w:r>
      <w:r w:rsidR="00081916">
        <w:rPr>
          <w:spacing w:val="-3"/>
        </w:rPr>
        <w:t>uncia y el desistimiento del demandante y el allanamiento del demandado, sea conju</w:t>
      </w:r>
      <w:r w:rsidR="00E27102">
        <w:rPr>
          <w:spacing w:val="-3"/>
        </w:rPr>
        <w:t>nta, apareciendo así</w:t>
      </w:r>
      <w:r w:rsidR="002D568C" w:rsidRPr="002D568C">
        <w:rPr>
          <w:spacing w:val="-3"/>
        </w:rPr>
        <w:t xml:space="preserve"> la transacción y el sometimiento a mediación o arbitraje.</w:t>
      </w:r>
    </w:p>
    <w:p w14:paraId="287FEAA9" w14:textId="47A81E2D" w:rsidR="002D568C" w:rsidRPr="002D568C" w:rsidRDefault="00F1492C"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un hecho jurídico</w:t>
      </w:r>
      <w:r>
        <w:rPr>
          <w:spacing w:val="-3"/>
        </w:rPr>
        <w:t>, apareciendo así la</w:t>
      </w:r>
      <w:r w:rsidR="002D568C" w:rsidRPr="002D568C">
        <w:rPr>
          <w:spacing w:val="-3"/>
        </w:rPr>
        <w:t xml:space="preserve"> caducidad de la instancia</w:t>
      </w:r>
      <w:r>
        <w:rPr>
          <w:spacing w:val="-3"/>
        </w:rPr>
        <w:t xml:space="preserve">, </w:t>
      </w:r>
      <w:r w:rsidR="002D568C" w:rsidRPr="002D568C">
        <w:rPr>
          <w:spacing w:val="-3"/>
        </w:rPr>
        <w:t xml:space="preserve">la satisfacción extraprocesal </w:t>
      </w:r>
      <w:r>
        <w:rPr>
          <w:spacing w:val="-3"/>
        </w:rPr>
        <w:t>y</w:t>
      </w:r>
      <w:r w:rsidR="002D568C" w:rsidRPr="002D568C">
        <w:rPr>
          <w:spacing w:val="-3"/>
        </w:rPr>
        <w:t xml:space="preserve"> la carencia sobrevenida de objeto.</w:t>
      </w:r>
    </w:p>
    <w:p w14:paraId="5B4594C9" w14:textId="06BE066D"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poder de disposición de las partes sobre el proceso </w:t>
      </w:r>
      <w:r w:rsidR="00EE5886">
        <w:rPr>
          <w:spacing w:val="-3"/>
        </w:rPr>
        <w:t xml:space="preserve">es reconocido por el </w:t>
      </w:r>
      <w:r w:rsidRPr="002D568C">
        <w:rPr>
          <w:spacing w:val="-3"/>
        </w:rPr>
        <w:t>artículo 19</w:t>
      </w:r>
      <w:r w:rsidR="004930E2">
        <w:rPr>
          <w:spacing w:val="-3"/>
        </w:rPr>
        <w:t xml:space="preserve"> </w:t>
      </w:r>
      <w:r w:rsidRPr="002D568C">
        <w:rPr>
          <w:spacing w:val="-3"/>
        </w:rPr>
        <w:t xml:space="preserve">de la Ley de Enjuiciamiento Civil </w:t>
      </w:r>
      <w:r w:rsidR="004930E2">
        <w:rPr>
          <w:spacing w:val="-3"/>
        </w:rPr>
        <w:t xml:space="preserve">de 7 de enero de 2000, </w:t>
      </w:r>
      <w:r w:rsidR="00703226">
        <w:rPr>
          <w:spacing w:val="-3"/>
        </w:rPr>
        <w:t xml:space="preserve">que dispone que </w:t>
      </w:r>
      <w:r w:rsidR="00D75F0A">
        <w:rPr>
          <w:spacing w:val="-3"/>
        </w:rPr>
        <w:t>“</w:t>
      </w:r>
      <w:r w:rsidR="002E19DC">
        <w:rPr>
          <w:spacing w:val="-3"/>
        </w:rPr>
        <w:t>l</w:t>
      </w:r>
      <w:r w:rsidRPr="002D568C">
        <w:rPr>
          <w:spacing w:val="-3"/>
        </w:rPr>
        <w:t xml:space="preserve">os litigantes están facultados para disponer del objeto del juicio y podrán renunciar, desistir del juicio, allanarse, someterse a mediación o a arbitraje y transigir sobre lo que sea objeto del mismo, excepto cuando la ley lo prohíba o establezca limitaciones por razones de interés general o </w:t>
      </w:r>
      <w:r w:rsidRPr="002D568C">
        <w:rPr>
          <w:spacing w:val="-3"/>
        </w:rPr>
        <w:lastRenderedPageBreak/>
        <w:t>en beneficio de tercero”</w:t>
      </w:r>
      <w:r w:rsidR="002E19DC">
        <w:rPr>
          <w:spacing w:val="-3"/>
        </w:rPr>
        <w:t>, actos que “</w:t>
      </w:r>
      <w:r w:rsidRPr="002D568C">
        <w:rPr>
          <w:spacing w:val="-3"/>
        </w:rPr>
        <w:t>podrán realizarse, según su naturaleza, en cualquier momento de la primera instancia o de los recursos o de la ejecución de sentencia”</w:t>
      </w:r>
      <w:r w:rsidR="002E19DC">
        <w:rPr>
          <w:spacing w:val="-3"/>
        </w:rPr>
        <w:t>.</w:t>
      </w:r>
    </w:p>
    <w:p w14:paraId="232393E8" w14:textId="3925EA8C" w:rsidR="002D568C" w:rsidRPr="002D568C" w:rsidRDefault="00FF2A45" w:rsidP="00A0201A">
      <w:pPr>
        <w:pStyle w:val="Prrafodelista"/>
        <w:spacing w:before="120" w:after="120" w:line="360" w:lineRule="auto"/>
        <w:ind w:left="0" w:firstLine="709"/>
        <w:jc w:val="both"/>
        <w:rPr>
          <w:spacing w:val="-3"/>
        </w:rPr>
      </w:pPr>
      <w:r>
        <w:rPr>
          <w:spacing w:val="-3"/>
        </w:rPr>
        <w:t xml:space="preserve">No obstante, </w:t>
      </w:r>
      <w:r w:rsidR="002D568C" w:rsidRPr="002D568C">
        <w:rPr>
          <w:spacing w:val="-3"/>
        </w:rPr>
        <w:t>existen excepciones a</w:t>
      </w:r>
      <w:r w:rsidR="005A5DA0">
        <w:rPr>
          <w:spacing w:val="-3"/>
        </w:rPr>
        <w:t xml:space="preserve"> este</w:t>
      </w:r>
      <w:r w:rsidR="002D568C" w:rsidRPr="002D568C">
        <w:rPr>
          <w:spacing w:val="-3"/>
        </w:rPr>
        <w:t xml:space="preserve"> poder de disposición</w:t>
      </w:r>
      <w:r>
        <w:rPr>
          <w:spacing w:val="-3"/>
        </w:rPr>
        <w:t xml:space="preserve">, como ocurre en los </w:t>
      </w:r>
      <w:r w:rsidR="00C11730" w:rsidRPr="00C11730">
        <w:rPr>
          <w:spacing w:val="-3"/>
        </w:rPr>
        <w:t>procesos sobre provisión de medidas judiciales de apoyo a las personas con discapacidad, filiación, matrimonio y menores</w:t>
      </w:r>
      <w:r w:rsidR="00C11730">
        <w:rPr>
          <w:spacing w:val="-3"/>
        </w:rPr>
        <w:t xml:space="preserve">, en los que el artículo </w:t>
      </w:r>
      <w:r w:rsidR="002D568C" w:rsidRPr="002D568C">
        <w:rPr>
          <w:spacing w:val="-3"/>
        </w:rPr>
        <w:t xml:space="preserve">751 </w:t>
      </w:r>
      <w:r w:rsidR="00C11730">
        <w:rPr>
          <w:spacing w:val="-3"/>
        </w:rPr>
        <w:t>de la Ley de Enjuiciamiento Civil</w:t>
      </w:r>
      <w:r w:rsidR="002D568C" w:rsidRPr="002D568C">
        <w:rPr>
          <w:spacing w:val="-3"/>
        </w:rPr>
        <w:t xml:space="preserve"> establece que no surtirán efecto la renuncia, el allanamiento ni la transacción</w:t>
      </w:r>
      <w:r w:rsidR="00C11730">
        <w:rPr>
          <w:spacing w:val="-3"/>
        </w:rPr>
        <w:t xml:space="preserve">, y el </w:t>
      </w:r>
      <w:r w:rsidR="002D568C" w:rsidRPr="002D568C">
        <w:rPr>
          <w:spacing w:val="-3"/>
        </w:rPr>
        <w:t>desistimiento requerirá la conformidad del Ministerio Fiscal</w:t>
      </w:r>
      <w:r w:rsidR="00C11730">
        <w:rPr>
          <w:spacing w:val="-3"/>
        </w:rPr>
        <w:t xml:space="preserve"> salvo las </w:t>
      </w:r>
      <w:r w:rsidR="00A0201A">
        <w:rPr>
          <w:spacing w:val="-3"/>
        </w:rPr>
        <w:t>excepciones previstas.</w:t>
      </w:r>
    </w:p>
    <w:p w14:paraId="003D0C07" w14:textId="7EA3C16A" w:rsidR="00FE1D99" w:rsidRPr="00FE1D99" w:rsidRDefault="0068189D" w:rsidP="00FE1D99">
      <w:pPr>
        <w:pStyle w:val="Prrafodelista"/>
        <w:spacing w:before="120" w:after="120" w:line="360" w:lineRule="auto"/>
        <w:ind w:left="0" w:firstLine="709"/>
        <w:jc w:val="both"/>
        <w:rPr>
          <w:spacing w:val="-3"/>
        </w:rPr>
      </w:pPr>
      <w:r>
        <w:rPr>
          <w:spacing w:val="-3"/>
        </w:rPr>
        <w:t xml:space="preserve">Estudiándose </w:t>
      </w:r>
      <w:r w:rsidR="002D568C" w:rsidRPr="002D568C">
        <w:rPr>
          <w:spacing w:val="-3"/>
        </w:rPr>
        <w:t xml:space="preserve">la mediación y el arbitraje </w:t>
      </w:r>
      <w:r>
        <w:rPr>
          <w:spacing w:val="-3"/>
        </w:rPr>
        <w:t xml:space="preserve">en los siguientes temas </w:t>
      </w:r>
      <w:r w:rsidR="002D568C" w:rsidRPr="002D568C">
        <w:rPr>
          <w:spacing w:val="-3"/>
        </w:rPr>
        <w:t xml:space="preserve">del programa, </w:t>
      </w:r>
      <w:r>
        <w:rPr>
          <w:spacing w:val="-3"/>
        </w:rPr>
        <w:t xml:space="preserve">el presente se dedica al estudio de las demás </w:t>
      </w:r>
      <w:r w:rsidR="002D568C" w:rsidRPr="002D568C">
        <w:rPr>
          <w:spacing w:val="-3"/>
        </w:rPr>
        <w:t xml:space="preserve">figuras previstas en el artículo 19 </w:t>
      </w:r>
      <w:r w:rsidR="00FE1D99">
        <w:rPr>
          <w:spacing w:val="-3"/>
        </w:rPr>
        <w:t>de la Ley de Enjuiciamiento Civil, comenzando por la renuncia</w:t>
      </w:r>
      <w:r w:rsidR="00FE1D99" w:rsidRPr="00FE1D99">
        <w:rPr>
          <w:spacing w:val="-3"/>
        </w:rPr>
        <w:t>.</w:t>
      </w:r>
    </w:p>
    <w:p w14:paraId="15F5B41D" w14:textId="77777777" w:rsidR="002D568C" w:rsidRPr="002D568C" w:rsidRDefault="002D568C" w:rsidP="00656C8D">
      <w:pPr>
        <w:pStyle w:val="Prrafodelista"/>
        <w:spacing w:before="120" w:after="120" w:line="360" w:lineRule="auto"/>
        <w:ind w:left="0" w:firstLine="709"/>
        <w:jc w:val="both"/>
        <w:rPr>
          <w:spacing w:val="-3"/>
        </w:rPr>
      </w:pPr>
    </w:p>
    <w:p w14:paraId="0E0B7B54" w14:textId="7D34D6E7" w:rsidR="002D568C" w:rsidRPr="00391DC3" w:rsidRDefault="00FE1D99" w:rsidP="00656C8D">
      <w:pPr>
        <w:pStyle w:val="Prrafodelista"/>
        <w:spacing w:before="120" w:after="120" w:line="360" w:lineRule="auto"/>
        <w:ind w:left="0" w:firstLine="709"/>
        <w:jc w:val="both"/>
        <w:rPr>
          <w:b/>
          <w:spacing w:val="-3"/>
        </w:rPr>
      </w:pPr>
      <w:r w:rsidRPr="00391DC3">
        <w:rPr>
          <w:b/>
          <w:spacing w:val="-3"/>
        </w:rPr>
        <w:t>La renuncia.</w:t>
      </w:r>
    </w:p>
    <w:p w14:paraId="7B472BB7" w14:textId="11DBF8EA"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La renuncia es </w:t>
      </w:r>
      <w:r w:rsidR="00391DC3">
        <w:rPr>
          <w:spacing w:val="-3"/>
        </w:rPr>
        <w:t>el</w:t>
      </w:r>
      <w:r w:rsidRPr="002D568C">
        <w:rPr>
          <w:spacing w:val="-3"/>
        </w:rPr>
        <w:t xml:space="preserve"> abandono</w:t>
      </w:r>
      <w:r w:rsidR="00391DC3">
        <w:rPr>
          <w:spacing w:val="-3"/>
        </w:rPr>
        <w:t xml:space="preserve"> </w:t>
      </w:r>
      <w:r w:rsidR="00AE292B">
        <w:rPr>
          <w:spacing w:val="-3"/>
        </w:rPr>
        <w:t xml:space="preserve">por el demandante </w:t>
      </w:r>
      <w:r w:rsidRPr="002D568C">
        <w:rPr>
          <w:spacing w:val="-3"/>
        </w:rPr>
        <w:t xml:space="preserve">del derecho subjetivo </w:t>
      </w:r>
      <w:r w:rsidR="007F0C72">
        <w:rPr>
          <w:spacing w:val="-3"/>
        </w:rPr>
        <w:t xml:space="preserve">que fundamenta </w:t>
      </w:r>
      <w:r w:rsidR="00AE292B">
        <w:rPr>
          <w:spacing w:val="-3"/>
        </w:rPr>
        <w:t>su pretensión</w:t>
      </w:r>
      <w:r w:rsidR="007F0C72">
        <w:rPr>
          <w:spacing w:val="-3"/>
        </w:rPr>
        <w:t xml:space="preserve">, </w:t>
      </w:r>
      <w:r w:rsidR="00AE292B">
        <w:rPr>
          <w:spacing w:val="-3"/>
        </w:rPr>
        <w:t>por lo que impide</w:t>
      </w:r>
      <w:r w:rsidR="007F0C72">
        <w:rPr>
          <w:spacing w:val="-3"/>
        </w:rPr>
        <w:t xml:space="preserve"> la iniciación de un proceso ulterior con fundamento en el derecho abandonado</w:t>
      </w:r>
      <w:r w:rsidRPr="002D568C">
        <w:rPr>
          <w:spacing w:val="-3"/>
        </w:rPr>
        <w:t>.</w:t>
      </w:r>
    </w:p>
    <w:p w14:paraId="647AFEF0" w14:textId="35209026" w:rsidR="002D568C" w:rsidRPr="002D568C" w:rsidRDefault="007F0C72" w:rsidP="00672910">
      <w:pPr>
        <w:pStyle w:val="Prrafodelista"/>
        <w:spacing w:before="120" w:after="120" w:line="360" w:lineRule="auto"/>
        <w:ind w:left="0" w:firstLine="709"/>
        <w:jc w:val="both"/>
        <w:rPr>
          <w:spacing w:val="-3"/>
        </w:rPr>
      </w:pPr>
      <w:r>
        <w:rPr>
          <w:spacing w:val="-3"/>
        </w:rPr>
        <w:t xml:space="preserve">Dispone </w:t>
      </w:r>
      <w:r w:rsidR="00974149">
        <w:rPr>
          <w:spacing w:val="-3"/>
        </w:rPr>
        <w:t xml:space="preserve">el </w:t>
      </w:r>
      <w:r w:rsidR="002D568C" w:rsidRPr="002D568C">
        <w:rPr>
          <w:spacing w:val="-3"/>
        </w:rPr>
        <w:t>artículo 20</w:t>
      </w:r>
      <w:r w:rsidR="00672910">
        <w:rPr>
          <w:spacing w:val="-3"/>
        </w:rPr>
        <w:t xml:space="preserve"> de la Ley de Enjuiciamiento Civil que “c</w:t>
      </w:r>
      <w:r w:rsidR="002D568C" w:rsidRPr="002D568C">
        <w:rPr>
          <w:spacing w:val="-3"/>
        </w:rPr>
        <w:t>uando el actor manifieste su renuncia a la acción ejercitada o al derecho en que funde su pretensión, el tribunal dictará sentencia absolviendo al demandado, salvo que la renuncia fuese legalmente inadmisible</w:t>
      </w:r>
      <w:r w:rsidR="00152633">
        <w:rPr>
          <w:spacing w:val="-3"/>
        </w:rPr>
        <w:t xml:space="preserve">”, lo que ocurre cuando la renuncia es contraria a la ley, al </w:t>
      </w:r>
      <w:r w:rsidR="003B100D">
        <w:rPr>
          <w:spacing w:val="-3"/>
        </w:rPr>
        <w:t xml:space="preserve">interés o el </w:t>
      </w:r>
      <w:r w:rsidR="00152633">
        <w:rPr>
          <w:spacing w:val="-3"/>
        </w:rPr>
        <w:t>orden público o perjudica a tercero, conforme al artículo 6.2 del Código Civil de 24 de julio de 1889, en cuyo caso “</w:t>
      </w:r>
      <w:r w:rsidR="002D568C" w:rsidRPr="002D568C">
        <w:rPr>
          <w:spacing w:val="-3"/>
        </w:rPr>
        <w:t>se dictará auto mandando seguir el proceso adelante”</w:t>
      </w:r>
      <w:r w:rsidR="00672910">
        <w:rPr>
          <w:spacing w:val="-3"/>
        </w:rPr>
        <w:t>.</w:t>
      </w:r>
    </w:p>
    <w:p w14:paraId="5D933299" w14:textId="0F7947B0" w:rsidR="002D568C" w:rsidRPr="002D568C" w:rsidRDefault="004564F1" w:rsidP="00656C8D">
      <w:pPr>
        <w:pStyle w:val="Prrafodelista"/>
        <w:spacing w:before="120" w:after="120" w:line="360" w:lineRule="auto"/>
        <w:ind w:left="0" w:firstLine="709"/>
        <w:jc w:val="both"/>
        <w:rPr>
          <w:spacing w:val="-3"/>
        </w:rPr>
      </w:pPr>
      <w:r>
        <w:rPr>
          <w:spacing w:val="-3"/>
        </w:rPr>
        <w:t xml:space="preserve">La renuncia requiere poder especial </w:t>
      </w:r>
      <w:r w:rsidR="00A03ABB">
        <w:rPr>
          <w:spacing w:val="-3"/>
        </w:rPr>
        <w:t>del procurador, conforme al artículo 25 de la Ley de Enjuiciamiento Civil, y cuando es realizada por representante legal requiere autorización judicial, como establece el artículo 166</w:t>
      </w:r>
      <w:r w:rsidR="00D911B9">
        <w:rPr>
          <w:spacing w:val="-3"/>
        </w:rPr>
        <w:t xml:space="preserve"> del Código Civil respecto de los progenitores</w:t>
      </w:r>
      <w:r w:rsidR="00901A9A">
        <w:rPr>
          <w:spacing w:val="-3"/>
        </w:rPr>
        <w:t xml:space="preserve"> o el 287 respecto del curador.</w:t>
      </w:r>
    </w:p>
    <w:p w14:paraId="5E5730AE" w14:textId="77777777" w:rsidR="002D568C" w:rsidRPr="002D568C" w:rsidRDefault="002D568C" w:rsidP="00656C8D">
      <w:pPr>
        <w:pStyle w:val="Prrafodelista"/>
        <w:spacing w:before="120" w:after="120" w:line="360" w:lineRule="auto"/>
        <w:ind w:left="0" w:firstLine="709"/>
        <w:jc w:val="both"/>
        <w:rPr>
          <w:spacing w:val="-3"/>
        </w:rPr>
      </w:pPr>
    </w:p>
    <w:p w14:paraId="51F37447" w14:textId="6D582E2A" w:rsidR="002D568C" w:rsidRPr="00901A9A" w:rsidRDefault="002D568C" w:rsidP="00901A9A">
      <w:pPr>
        <w:spacing w:before="120" w:after="120" w:line="360" w:lineRule="auto"/>
        <w:jc w:val="both"/>
        <w:rPr>
          <w:b/>
          <w:bCs/>
          <w:spacing w:val="-3"/>
        </w:rPr>
      </w:pPr>
      <w:r w:rsidRPr="00901A9A">
        <w:rPr>
          <w:b/>
          <w:bCs/>
          <w:spacing w:val="-3"/>
        </w:rPr>
        <w:t>EL DESISTIMIENTO</w:t>
      </w:r>
      <w:r w:rsidR="00901A9A" w:rsidRPr="00901A9A">
        <w:rPr>
          <w:b/>
          <w:bCs/>
          <w:spacing w:val="-3"/>
        </w:rPr>
        <w:t>.</w:t>
      </w:r>
    </w:p>
    <w:p w14:paraId="10926F31" w14:textId="4816ACB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desistimiento </w:t>
      </w:r>
      <w:r w:rsidR="00AF7D0B">
        <w:rPr>
          <w:spacing w:val="-3"/>
        </w:rPr>
        <w:t>es</w:t>
      </w:r>
      <w:r w:rsidRPr="002D568C">
        <w:rPr>
          <w:spacing w:val="-3"/>
        </w:rPr>
        <w:t xml:space="preserve"> el abandono</w:t>
      </w:r>
      <w:r w:rsidR="00AF7D0B">
        <w:rPr>
          <w:spacing w:val="-3"/>
        </w:rPr>
        <w:t xml:space="preserve"> por el demandante de </w:t>
      </w:r>
      <w:r w:rsidRPr="002D568C">
        <w:rPr>
          <w:spacing w:val="-3"/>
        </w:rPr>
        <w:t>su pretensión</w:t>
      </w:r>
      <w:r w:rsidR="00AF7D0B">
        <w:rPr>
          <w:spacing w:val="-3"/>
        </w:rPr>
        <w:t>, pero no del derecho subjetivo en que se funda</w:t>
      </w:r>
      <w:r w:rsidR="00AE292B">
        <w:rPr>
          <w:spacing w:val="-3"/>
        </w:rPr>
        <w:t>menta</w:t>
      </w:r>
      <w:r w:rsidR="00AF7D0B">
        <w:rPr>
          <w:spacing w:val="-3"/>
        </w:rPr>
        <w:t xml:space="preserve">, </w:t>
      </w:r>
      <w:r w:rsidR="00AE292B">
        <w:rPr>
          <w:spacing w:val="-3"/>
        </w:rPr>
        <w:t>por lo no que impide la iniciación de un proceso ulterior con fundamento en el derecho abandonado</w:t>
      </w:r>
      <w:r w:rsidRPr="002D568C">
        <w:rPr>
          <w:spacing w:val="-3"/>
        </w:rPr>
        <w:t>.</w:t>
      </w:r>
    </w:p>
    <w:p w14:paraId="5B52FE23" w14:textId="77777777" w:rsidR="00047D4A" w:rsidRDefault="00AE292B" w:rsidP="00656C8D">
      <w:pPr>
        <w:pStyle w:val="Prrafodelista"/>
        <w:spacing w:before="120" w:after="120" w:line="360" w:lineRule="auto"/>
        <w:ind w:left="0" w:firstLine="709"/>
        <w:jc w:val="both"/>
        <w:rPr>
          <w:spacing w:val="-3"/>
        </w:rPr>
      </w:pPr>
      <w:r>
        <w:rPr>
          <w:spacing w:val="-3"/>
        </w:rPr>
        <w:t xml:space="preserve">Dispone el </w:t>
      </w:r>
      <w:r w:rsidRPr="002D568C">
        <w:rPr>
          <w:spacing w:val="-3"/>
        </w:rPr>
        <w:t>artículo 20</w:t>
      </w:r>
      <w:r>
        <w:rPr>
          <w:spacing w:val="-3"/>
        </w:rPr>
        <w:t xml:space="preserve"> de la Ley de Enjuiciamiento Civil que e</w:t>
      </w:r>
      <w:r w:rsidR="002D568C" w:rsidRPr="002D568C">
        <w:rPr>
          <w:spacing w:val="-3"/>
        </w:rPr>
        <w:t>l demandante podrá desistir unilateralmente del juicio</w:t>
      </w:r>
      <w:r w:rsidR="00047D4A">
        <w:rPr>
          <w:spacing w:val="-3"/>
        </w:rPr>
        <w:t xml:space="preserve"> en cualquier momento, en cuyo caso se dictará decreto de sobreseimiento y </w:t>
      </w:r>
      <w:r w:rsidR="00047D4A" w:rsidRPr="002D568C">
        <w:rPr>
          <w:spacing w:val="-3"/>
        </w:rPr>
        <w:t>el actor podrá promover nuevo juicio sobre el mismo objeto</w:t>
      </w:r>
      <w:r w:rsidR="00047D4A">
        <w:rPr>
          <w:spacing w:val="-3"/>
        </w:rPr>
        <w:t>.</w:t>
      </w:r>
    </w:p>
    <w:p w14:paraId="2BA9AB0A" w14:textId="497CFB85" w:rsidR="002D568C" w:rsidRPr="002D568C" w:rsidRDefault="00047D4A" w:rsidP="00656C8D">
      <w:pPr>
        <w:pStyle w:val="Prrafodelista"/>
        <w:spacing w:before="120" w:after="120" w:line="360" w:lineRule="auto"/>
        <w:ind w:left="0" w:firstLine="709"/>
        <w:jc w:val="both"/>
        <w:rPr>
          <w:spacing w:val="-3"/>
        </w:rPr>
      </w:pPr>
      <w:r>
        <w:rPr>
          <w:spacing w:val="-3"/>
        </w:rPr>
        <w:lastRenderedPageBreak/>
        <w:t xml:space="preserve">No obstante, si el desistimiento se produjese después del emplazamiento y comparecencia del demandado, </w:t>
      </w:r>
      <w:r w:rsidR="002D568C" w:rsidRPr="002D568C">
        <w:rPr>
          <w:spacing w:val="-3"/>
        </w:rPr>
        <w:t>se le dará traslado por plazo de diez días</w:t>
      </w:r>
      <w:r w:rsidR="00305609">
        <w:rPr>
          <w:spacing w:val="-3"/>
        </w:rPr>
        <w:t xml:space="preserve">, y si se opusiere expresamente al mismo el juez resolverá </w:t>
      </w:r>
      <w:r w:rsidR="00B06839">
        <w:rPr>
          <w:spacing w:val="-3"/>
        </w:rPr>
        <w:t xml:space="preserve">mediante auto </w:t>
      </w:r>
      <w:r w:rsidR="00305609">
        <w:rPr>
          <w:spacing w:val="-3"/>
        </w:rPr>
        <w:t>lo que estime pertinente acerca del sobreseimiento o continuación del juicio</w:t>
      </w:r>
      <w:r w:rsidR="00655BEC">
        <w:rPr>
          <w:spacing w:val="-3"/>
        </w:rPr>
        <w:t xml:space="preserve">, auto que es recurrible en </w:t>
      </w:r>
      <w:r w:rsidR="00114733">
        <w:rPr>
          <w:spacing w:val="-3"/>
        </w:rPr>
        <w:t xml:space="preserve">apelación </w:t>
      </w:r>
      <w:r w:rsidR="00655BEC">
        <w:rPr>
          <w:spacing w:val="-3"/>
        </w:rPr>
        <w:t xml:space="preserve">o </w:t>
      </w:r>
      <w:r w:rsidR="00114733">
        <w:rPr>
          <w:spacing w:val="-3"/>
        </w:rPr>
        <w:t>en reposición según acuerde el</w:t>
      </w:r>
      <w:r w:rsidR="00114733" w:rsidRPr="00114733">
        <w:rPr>
          <w:spacing w:val="-3"/>
        </w:rPr>
        <w:t xml:space="preserve"> </w:t>
      </w:r>
      <w:r w:rsidR="00114733">
        <w:rPr>
          <w:spacing w:val="-3"/>
        </w:rPr>
        <w:t>sobreseimiento o la continuación del juicio.</w:t>
      </w:r>
    </w:p>
    <w:p w14:paraId="7F6C379A" w14:textId="0949D77E" w:rsidR="002D568C" w:rsidRPr="002D568C" w:rsidRDefault="00BF00FF" w:rsidP="00183986">
      <w:pPr>
        <w:pStyle w:val="Prrafodelista"/>
        <w:spacing w:before="120" w:after="120" w:line="360" w:lineRule="auto"/>
        <w:ind w:left="0" w:firstLine="709"/>
        <w:jc w:val="both"/>
        <w:rPr>
          <w:spacing w:val="-3"/>
        </w:rPr>
      </w:pPr>
      <w:r>
        <w:rPr>
          <w:spacing w:val="-3"/>
        </w:rPr>
        <w:t>E</w:t>
      </w:r>
      <w:r w:rsidR="002170E1">
        <w:rPr>
          <w:spacing w:val="-3"/>
        </w:rPr>
        <w:t xml:space="preserve">l desistimiento puede ser de todas las pretensiones o de parte de ellas, </w:t>
      </w:r>
      <w:r w:rsidR="00B06839">
        <w:rPr>
          <w:spacing w:val="-3"/>
        </w:rPr>
        <w:t>y requiere poder especial del procurador, conforme al artículo 25 de la Ley de Enjuiciamiento Civil</w:t>
      </w:r>
      <w:r w:rsidR="00917777">
        <w:rPr>
          <w:spacing w:val="-3"/>
        </w:rPr>
        <w:t xml:space="preserve">, previendo el </w:t>
      </w:r>
      <w:r w:rsidR="002D568C" w:rsidRPr="002D568C">
        <w:rPr>
          <w:spacing w:val="-3"/>
        </w:rPr>
        <w:t>artículo 396</w:t>
      </w:r>
      <w:r w:rsidR="00917777">
        <w:rPr>
          <w:spacing w:val="-3"/>
        </w:rPr>
        <w:t xml:space="preserve"> de la Ley de Enjuiciamiento Civil </w:t>
      </w:r>
      <w:proofErr w:type="gramStart"/>
      <w:r w:rsidR="00917777">
        <w:rPr>
          <w:spacing w:val="-3"/>
        </w:rPr>
        <w:t>que</w:t>
      </w:r>
      <w:proofErr w:type="gramEnd"/>
      <w:r w:rsidR="00917777">
        <w:rPr>
          <w:spacing w:val="-3"/>
        </w:rPr>
        <w:t xml:space="preserve"> </w:t>
      </w:r>
      <w:r w:rsidR="00183986">
        <w:rPr>
          <w:spacing w:val="-3"/>
        </w:rPr>
        <w:t>s</w:t>
      </w:r>
      <w:r w:rsidR="002D568C" w:rsidRPr="002D568C">
        <w:rPr>
          <w:spacing w:val="-3"/>
        </w:rPr>
        <w:t xml:space="preserve">i el desistimiento </w:t>
      </w:r>
      <w:r w:rsidR="00183986">
        <w:rPr>
          <w:spacing w:val="-3"/>
        </w:rPr>
        <w:t xml:space="preserve">es </w:t>
      </w:r>
      <w:r w:rsidR="002D568C" w:rsidRPr="002D568C">
        <w:rPr>
          <w:spacing w:val="-3"/>
        </w:rPr>
        <w:t>consentido por el demandado, no se condenará en costas a ninguno de los litigantes.</w:t>
      </w:r>
    </w:p>
    <w:p w14:paraId="759E087A" w14:textId="77777777" w:rsidR="002D568C" w:rsidRPr="002D568C" w:rsidRDefault="002D568C" w:rsidP="00656C8D">
      <w:pPr>
        <w:pStyle w:val="Prrafodelista"/>
        <w:spacing w:before="120" w:after="120" w:line="360" w:lineRule="auto"/>
        <w:ind w:left="0" w:firstLine="709"/>
        <w:jc w:val="both"/>
        <w:rPr>
          <w:spacing w:val="-3"/>
        </w:rPr>
      </w:pPr>
    </w:p>
    <w:p w14:paraId="4AB82223" w14:textId="6F69B162" w:rsidR="002D568C" w:rsidRPr="00183986" w:rsidRDefault="002D568C" w:rsidP="00183986">
      <w:pPr>
        <w:spacing w:before="120" w:after="120" w:line="360" w:lineRule="auto"/>
        <w:jc w:val="both"/>
        <w:rPr>
          <w:b/>
          <w:bCs/>
          <w:spacing w:val="-3"/>
        </w:rPr>
      </w:pPr>
      <w:r w:rsidRPr="00183986">
        <w:rPr>
          <w:b/>
          <w:bCs/>
          <w:spacing w:val="-3"/>
        </w:rPr>
        <w:t>EL ALLANAMIENTO</w:t>
      </w:r>
      <w:r w:rsidR="00183986" w:rsidRPr="00183986">
        <w:rPr>
          <w:b/>
          <w:bCs/>
          <w:spacing w:val="-3"/>
        </w:rPr>
        <w:t>.</w:t>
      </w:r>
    </w:p>
    <w:p w14:paraId="2AA49F74" w14:textId="2B64A9A7" w:rsidR="002D568C" w:rsidRPr="002D568C" w:rsidRDefault="002D568C" w:rsidP="008F16F9">
      <w:pPr>
        <w:pStyle w:val="Prrafodelista"/>
        <w:spacing w:before="120" w:after="120" w:line="360" w:lineRule="auto"/>
        <w:ind w:left="0" w:firstLine="709"/>
        <w:jc w:val="both"/>
        <w:rPr>
          <w:spacing w:val="-3"/>
        </w:rPr>
      </w:pPr>
      <w:r w:rsidRPr="002D568C">
        <w:rPr>
          <w:spacing w:val="-3"/>
        </w:rPr>
        <w:t xml:space="preserve">El allanamiento es la </w:t>
      </w:r>
      <w:r w:rsidR="008F16F9">
        <w:rPr>
          <w:spacing w:val="-3"/>
        </w:rPr>
        <w:t xml:space="preserve">admisión por el demandado de </w:t>
      </w:r>
      <w:r w:rsidRPr="002D568C">
        <w:rPr>
          <w:spacing w:val="-3"/>
        </w:rPr>
        <w:t xml:space="preserve">las pretensiones del actor, </w:t>
      </w:r>
      <w:r w:rsidR="008F16F9">
        <w:rPr>
          <w:spacing w:val="-3"/>
        </w:rPr>
        <w:t xml:space="preserve">disponiendo respecto </w:t>
      </w:r>
      <w:proofErr w:type="gramStart"/>
      <w:r w:rsidR="008F16F9">
        <w:rPr>
          <w:spacing w:val="-3"/>
        </w:rPr>
        <w:t>del mismo</w:t>
      </w:r>
      <w:proofErr w:type="gramEnd"/>
      <w:r w:rsidR="008F16F9">
        <w:rPr>
          <w:spacing w:val="-3"/>
        </w:rPr>
        <w:t xml:space="preserve"> el </w:t>
      </w:r>
      <w:r w:rsidRPr="002D568C">
        <w:rPr>
          <w:spacing w:val="-3"/>
        </w:rPr>
        <w:t xml:space="preserve">artículo </w:t>
      </w:r>
      <w:r w:rsidR="008F16F9">
        <w:rPr>
          <w:spacing w:val="-3"/>
        </w:rPr>
        <w:t>21 de la Ley de Enjuiciamiento Civil</w:t>
      </w:r>
      <w:r w:rsidRPr="002D568C">
        <w:rPr>
          <w:spacing w:val="-3"/>
        </w:rPr>
        <w:t xml:space="preserve"> </w:t>
      </w:r>
      <w:r w:rsidR="008F16F9">
        <w:rPr>
          <w:spacing w:val="-3"/>
        </w:rPr>
        <w:t>que c</w:t>
      </w:r>
      <w:r w:rsidRPr="002D568C">
        <w:rPr>
          <w:spacing w:val="-3"/>
        </w:rPr>
        <w:t>uando el demandado se allane a todas las pretensiones del actor, el tribunal dictará sentencia condenatoria de acuerdo con lo solicitado por éste, pero si el allanamiento se hiciera en fraude de ley o supusiera renuncia contra el interés general o perjuicio de tercero, se dictará auto rechazándolo y seguirá el proceso adelante.</w:t>
      </w:r>
    </w:p>
    <w:p w14:paraId="15B0CA96" w14:textId="7D21DA80"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Cuando se trate de un allanamiento parcial el tribunal, a instancia del demandante, podrá dictar de inmediato auto acogiendo las pretensiones que hayan sido objeto de dicho allanamiento. Para ello será necesario que, por la naturaleza de dichas pretensiones, sea posible un pronunciamiento separado que no prejuzgue las restantes cuestiones no allanadas, respecto de las cuales continuará el proceso. Este auto será </w:t>
      </w:r>
      <w:r w:rsidR="008F16F9">
        <w:rPr>
          <w:spacing w:val="-3"/>
        </w:rPr>
        <w:t>susceptible de ejecución forzosa</w:t>
      </w:r>
      <w:r w:rsidRPr="002D568C">
        <w:rPr>
          <w:spacing w:val="-3"/>
        </w:rPr>
        <w:t>.</w:t>
      </w:r>
    </w:p>
    <w:p w14:paraId="177AFF06" w14:textId="77FFA546" w:rsidR="002D568C" w:rsidRPr="002D568C" w:rsidRDefault="008F16F9" w:rsidP="00656C8D">
      <w:pPr>
        <w:pStyle w:val="Prrafodelista"/>
        <w:spacing w:before="120" w:after="120" w:line="360" w:lineRule="auto"/>
        <w:ind w:left="0" w:firstLine="709"/>
        <w:jc w:val="both"/>
        <w:rPr>
          <w:spacing w:val="-3"/>
        </w:rPr>
      </w:pPr>
      <w:r>
        <w:rPr>
          <w:spacing w:val="-3"/>
        </w:rPr>
        <w:t xml:space="preserve">La renuncia requiere poder especial del procurador, conforme al artículo 25 de la Ley de Enjuiciamiento Civil, previendo el </w:t>
      </w:r>
      <w:r w:rsidRPr="002D568C">
        <w:rPr>
          <w:spacing w:val="-3"/>
        </w:rPr>
        <w:t>artículo 39</w:t>
      </w:r>
      <w:r>
        <w:rPr>
          <w:spacing w:val="-3"/>
        </w:rPr>
        <w:t>5 de la Ley de Enjuiciamiento Civil que s</w:t>
      </w:r>
      <w:r w:rsidR="002D568C" w:rsidRPr="002D568C">
        <w:rPr>
          <w:spacing w:val="-3"/>
        </w:rPr>
        <w:t>i el demandado se allanare a la demanda antes de contestarla, no procederá la imposición de costas salvo que el tribunal aprecie mala fe en el demandado</w:t>
      </w:r>
      <w:r w:rsidR="004C3501">
        <w:rPr>
          <w:spacing w:val="-3"/>
        </w:rPr>
        <w:t xml:space="preserve">, lo que se </w:t>
      </w:r>
      <w:r w:rsidR="002D568C" w:rsidRPr="002D568C">
        <w:rPr>
          <w:spacing w:val="-3"/>
        </w:rPr>
        <w:t>entenderá si antes de presentada la demanda se hubiese formulado al demandado requerimiento fehaciente y justificado de pago, o si se hubiera iniciado procedimiento de mediación o dirigido contra él solicitud de conciliación.</w:t>
      </w:r>
    </w:p>
    <w:p w14:paraId="757BE9DA" w14:textId="77777777" w:rsidR="002D568C" w:rsidRPr="002D568C" w:rsidRDefault="002D568C" w:rsidP="00656C8D">
      <w:pPr>
        <w:pStyle w:val="Prrafodelista"/>
        <w:spacing w:before="120" w:after="120" w:line="360" w:lineRule="auto"/>
        <w:ind w:left="0" w:firstLine="709"/>
        <w:jc w:val="both"/>
        <w:rPr>
          <w:spacing w:val="-3"/>
        </w:rPr>
      </w:pPr>
    </w:p>
    <w:p w14:paraId="2DC74503" w14:textId="5918BC67" w:rsidR="002D568C" w:rsidRPr="004C3501" w:rsidRDefault="002D568C" w:rsidP="004C3501">
      <w:pPr>
        <w:spacing w:before="120" w:after="120" w:line="360" w:lineRule="auto"/>
        <w:jc w:val="both"/>
        <w:rPr>
          <w:b/>
          <w:bCs/>
          <w:spacing w:val="-3"/>
        </w:rPr>
      </w:pPr>
      <w:r w:rsidRPr="004C3501">
        <w:rPr>
          <w:b/>
          <w:bCs/>
          <w:spacing w:val="-3"/>
        </w:rPr>
        <w:t>LA TRANSACCIÓN</w:t>
      </w:r>
      <w:r w:rsidR="004C3501" w:rsidRPr="004C3501">
        <w:rPr>
          <w:b/>
          <w:bCs/>
          <w:spacing w:val="-3"/>
        </w:rPr>
        <w:t>.</w:t>
      </w:r>
    </w:p>
    <w:p w14:paraId="01720DB7" w14:textId="4F1B1762" w:rsidR="002D568C" w:rsidRPr="002D568C" w:rsidRDefault="004C3501" w:rsidP="004C3501">
      <w:pPr>
        <w:pStyle w:val="Prrafodelista"/>
        <w:spacing w:before="120" w:after="120" w:line="360" w:lineRule="auto"/>
        <w:ind w:left="0" w:firstLine="709"/>
        <w:jc w:val="both"/>
        <w:rPr>
          <w:spacing w:val="-3"/>
        </w:rPr>
      </w:pPr>
      <w:r>
        <w:rPr>
          <w:spacing w:val="-3"/>
        </w:rPr>
        <w:t>Como se estudia en el tema 65 de Derecho Civil del programa, el artículo 1809 del Código Civil de 24 de julio de 1889 define a la transacción como</w:t>
      </w:r>
      <w:r w:rsidR="002D568C" w:rsidRPr="002D568C">
        <w:rPr>
          <w:spacing w:val="-3"/>
        </w:rPr>
        <w:t xml:space="preserve"> “el contrato por el cual las </w:t>
      </w:r>
      <w:r w:rsidR="002D568C" w:rsidRPr="002D568C">
        <w:rPr>
          <w:spacing w:val="-3"/>
        </w:rPr>
        <w:lastRenderedPageBreak/>
        <w:t>partes, dando, prometiendo o reteniendo cada una alguna cosa, evitan la provocación de un pleito o ponen término al que había comenzado”</w:t>
      </w:r>
      <w:r>
        <w:rPr>
          <w:spacing w:val="-3"/>
        </w:rPr>
        <w:t>, siendo esta última modalidad, la transacción procesal o extintiva de un proceso, la que ahora interesa., otorgándole el artículo 1816 del Código Civil</w:t>
      </w:r>
      <w:r w:rsidR="002D568C" w:rsidRPr="002D568C">
        <w:rPr>
          <w:spacing w:val="-3"/>
        </w:rPr>
        <w:t xml:space="preserve"> autoridad de cosa juzgada para las partes.</w:t>
      </w:r>
    </w:p>
    <w:p w14:paraId="73F1BE4A" w14:textId="39DE1F50" w:rsidR="002D568C" w:rsidRPr="002D568C" w:rsidRDefault="004C3501" w:rsidP="00656C8D">
      <w:pPr>
        <w:pStyle w:val="Prrafodelista"/>
        <w:spacing w:before="120" w:after="120" w:line="360" w:lineRule="auto"/>
        <w:ind w:left="0" w:firstLine="709"/>
        <w:jc w:val="both"/>
        <w:rPr>
          <w:spacing w:val="-3"/>
        </w:rPr>
      </w:pPr>
      <w:r>
        <w:rPr>
          <w:spacing w:val="-3"/>
        </w:rPr>
        <w:t xml:space="preserve">Por su parte, el artículo </w:t>
      </w:r>
      <w:r w:rsidR="002D568C" w:rsidRPr="002D568C">
        <w:rPr>
          <w:spacing w:val="-3"/>
        </w:rPr>
        <w:t xml:space="preserve">19 </w:t>
      </w:r>
      <w:r>
        <w:rPr>
          <w:spacing w:val="-3"/>
        </w:rPr>
        <w:t>de la Ley de Enjuiciamiento Civil</w:t>
      </w:r>
      <w:r w:rsidRPr="002D568C">
        <w:rPr>
          <w:spacing w:val="-3"/>
        </w:rPr>
        <w:t xml:space="preserve"> </w:t>
      </w:r>
      <w:r w:rsidR="002D568C" w:rsidRPr="002D568C">
        <w:rPr>
          <w:spacing w:val="-3"/>
        </w:rPr>
        <w:t>establece que</w:t>
      </w:r>
      <w:r>
        <w:rPr>
          <w:spacing w:val="-3"/>
        </w:rPr>
        <w:t xml:space="preserve"> s</w:t>
      </w:r>
      <w:r w:rsidR="002D568C" w:rsidRPr="002D568C">
        <w:rPr>
          <w:spacing w:val="-3"/>
        </w:rPr>
        <w:t xml:space="preserve">i las partes pretendieran una transacción judicial y el acuerdo o convenio </w:t>
      </w:r>
      <w:r>
        <w:rPr>
          <w:spacing w:val="-3"/>
        </w:rPr>
        <w:t>no es contrario a la ley</w:t>
      </w:r>
      <w:r w:rsidR="002D568C" w:rsidRPr="002D568C">
        <w:rPr>
          <w:spacing w:val="-3"/>
        </w:rPr>
        <w:t xml:space="preserve">, será homologado </w:t>
      </w:r>
      <w:r>
        <w:rPr>
          <w:spacing w:val="-3"/>
        </w:rPr>
        <w:t xml:space="preserve">mediante auto </w:t>
      </w:r>
      <w:r w:rsidR="002D568C" w:rsidRPr="002D568C">
        <w:rPr>
          <w:spacing w:val="-3"/>
        </w:rPr>
        <w:t>por el tribunal que esté conociendo del litigio al que se pretenda poner fin</w:t>
      </w:r>
      <w:r>
        <w:rPr>
          <w:spacing w:val="-3"/>
        </w:rPr>
        <w:t>, reconociendo el artículo 517 fuerza ejecutiva a dicho auto.</w:t>
      </w:r>
    </w:p>
    <w:p w14:paraId="34E3B00C" w14:textId="77777777" w:rsidR="002D568C" w:rsidRPr="002D568C" w:rsidRDefault="002D568C" w:rsidP="00656C8D">
      <w:pPr>
        <w:pStyle w:val="Prrafodelista"/>
        <w:spacing w:before="120" w:after="120" w:line="360" w:lineRule="auto"/>
        <w:ind w:left="0" w:firstLine="709"/>
        <w:jc w:val="both"/>
        <w:rPr>
          <w:spacing w:val="-3"/>
        </w:rPr>
      </w:pPr>
    </w:p>
    <w:p w14:paraId="1DE57A71" w14:textId="19642046" w:rsidR="002D568C" w:rsidRPr="004C3501" w:rsidRDefault="002D568C" w:rsidP="004C3501">
      <w:pPr>
        <w:pStyle w:val="Prrafodelista"/>
        <w:spacing w:before="120" w:after="120" w:line="360" w:lineRule="auto"/>
        <w:ind w:left="0"/>
        <w:jc w:val="both"/>
        <w:rPr>
          <w:b/>
          <w:bCs/>
          <w:spacing w:val="-3"/>
        </w:rPr>
      </w:pPr>
      <w:r w:rsidRPr="004C3501">
        <w:rPr>
          <w:b/>
          <w:bCs/>
          <w:spacing w:val="-3"/>
        </w:rPr>
        <w:t>LA SATISFACCIÓN EXTRAPROCESAL Y LA CARENCIA SOBREVENIDA DE OBJETO</w:t>
      </w:r>
      <w:r w:rsidR="004C3501" w:rsidRPr="004C3501">
        <w:rPr>
          <w:b/>
          <w:bCs/>
          <w:spacing w:val="-3"/>
        </w:rPr>
        <w:t>.</w:t>
      </w:r>
    </w:p>
    <w:p w14:paraId="751BD520" w14:textId="05355559" w:rsidR="002D568C" w:rsidRPr="002D568C" w:rsidRDefault="004C3501" w:rsidP="00656C8D">
      <w:pPr>
        <w:pStyle w:val="Prrafodelista"/>
        <w:spacing w:before="120" w:after="120" w:line="360" w:lineRule="auto"/>
        <w:ind w:left="0" w:firstLine="709"/>
        <w:jc w:val="both"/>
        <w:rPr>
          <w:spacing w:val="-3"/>
        </w:rPr>
      </w:pPr>
      <w:r>
        <w:rPr>
          <w:spacing w:val="-3"/>
        </w:rPr>
        <w:t>Dispone el artículo 22 de la Ley de Enjuiciamiento Civil que c</w:t>
      </w:r>
      <w:r w:rsidR="002D568C" w:rsidRPr="002D568C">
        <w:rPr>
          <w:spacing w:val="-3"/>
        </w:rPr>
        <w:t>uando, por circunstancias sobrevenidas a la demanda y a la reconvención, dejare de haber interés legítimo en obtener la tutela judicial pretendida, porque se hayan satisfecho, fuera del proceso, las pretensiones del actor y, en su caso, del demandado reconviniente o por cualquier otra causa, se pondrá de manifiesto esta circunstancia y, si hubiere acuerdo de las partes, se decretará por la terminación del proceso, sin que proceda condena en costas.</w:t>
      </w:r>
    </w:p>
    <w:p w14:paraId="475B73EE" w14:textId="2C2E1C57"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Si alguna de las partes sostuviere la subsistencia de interés legítimo, negando motivadamente que se haya dado satisfacción extraprocesal a sus pretensiones o con otros argumentos, </w:t>
      </w:r>
      <w:r w:rsidR="00D96AD1">
        <w:rPr>
          <w:spacing w:val="-3"/>
        </w:rPr>
        <w:t xml:space="preserve">se convocará a las partes a una comparecencia y </w:t>
      </w:r>
      <w:r w:rsidRPr="002D568C">
        <w:rPr>
          <w:spacing w:val="-3"/>
        </w:rPr>
        <w:t>el tribunal decidirá mediante auto si procede o no continuar el juicio, imponiéndose las costas a quien viere rechazada su pretensión.</w:t>
      </w:r>
    </w:p>
    <w:p w14:paraId="06B41E45" w14:textId="5DFA6685" w:rsidR="002D568C" w:rsidRPr="002D568C" w:rsidRDefault="002D568C" w:rsidP="00656C8D">
      <w:pPr>
        <w:pStyle w:val="Prrafodelista"/>
        <w:spacing w:before="120" w:after="120" w:line="360" w:lineRule="auto"/>
        <w:ind w:left="0" w:firstLine="709"/>
        <w:jc w:val="both"/>
        <w:rPr>
          <w:spacing w:val="-3"/>
        </w:rPr>
      </w:pPr>
      <w:r w:rsidRPr="002D568C">
        <w:rPr>
          <w:spacing w:val="-3"/>
        </w:rPr>
        <w:t>Contra el auto que ordene la continuación del juicio no cabrá recurso alguno. Contra el que acuerde su terminación, cabrá recurso de apelación.</w:t>
      </w:r>
    </w:p>
    <w:p w14:paraId="3CF3E5FC" w14:textId="173FC525" w:rsidR="002D568C" w:rsidRDefault="00D96AD1" w:rsidP="00656C8D">
      <w:pPr>
        <w:pStyle w:val="Prrafodelista"/>
        <w:spacing w:before="120" w:after="120" w:line="360" w:lineRule="auto"/>
        <w:ind w:left="0" w:firstLine="709"/>
        <w:jc w:val="both"/>
        <w:rPr>
          <w:spacing w:val="-3"/>
        </w:rPr>
      </w:pPr>
      <w:r>
        <w:rPr>
          <w:spacing w:val="-3"/>
        </w:rPr>
        <w:t>Además, este precepto regula la enervación de la acción de desahucio por falta de pago de rentas, que permiten al arrendatario enervar la acción mediante el pago de las rentas debidas en ciertos casos.</w:t>
      </w:r>
    </w:p>
    <w:p w14:paraId="18D38DE7" w14:textId="77777777" w:rsidR="00D96AD1" w:rsidRPr="002D568C" w:rsidRDefault="00D96AD1" w:rsidP="00656C8D">
      <w:pPr>
        <w:pStyle w:val="Prrafodelista"/>
        <w:spacing w:before="120" w:after="120" w:line="360" w:lineRule="auto"/>
        <w:ind w:left="0" w:firstLine="709"/>
        <w:jc w:val="both"/>
        <w:rPr>
          <w:spacing w:val="-3"/>
        </w:rPr>
      </w:pPr>
    </w:p>
    <w:p w14:paraId="73CACE4F" w14:textId="6947A5B2" w:rsidR="002D568C" w:rsidRPr="00D96AD1" w:rsidRDefault="002D568C" w:rsidP="00D96AD1">
      <w:pPr>
        <w:pStyle w:val="Prrafodelista"/>
        <w:spacing w:before="120" w:after="120" w:line="360" w:lineRule="auto"/>
        <w:ind w:left="0"/>
        <w:jc w:val="both"/>
        <w:rPr>
          <w:b/>
          <w:bCs/>
          <w:spacing w:val="-3"/>
        </w:rPr>
      </w:pPr>
      <w:r w:rsidRPr="00D96AD1">
        <w:rPr>
          <w:b/>
          <w:bCs/>
          <w:spacing w:val="-3"/>
        </w:rPr>
        <w:t>ESPECIAL REFERENCIA A LA DISPOSICIÓN DE LA ACCIÓN PROCESAL POR EL ABOGADO DEL ESTADO</w:t>
      </w:r>
      <w:r w:rsidR="00D96AD1" w:rsidRPr="00D96AD1">
        <w:rPr>
          <w:b/>
          <w:bCs/>
          <w:spacing w:val="-3"/>
        </w:rPr>
        <w:t>.</w:t>
      </w:r>
    </w:p>
    <w:p w14:paraId="077CD9A1" w14:textId="1F943E93" w:rsidR="002D568C" w:rsidRPr="002D568C" w:rsidRDefault="00D96AD1" w:rsidP="00D96AD1">
      <w:pPr>
        <w:pStyle w:val="Prrafodelista"/>
        <w:spacing w:before="120" w:after="120" w:line="360" w:lineRule="auto"/>
        <w:ind w:left="0" w:firstLine="709"/>
        <w:jc w:val="both"/>
        <w:rPr>
          <w:spacing w:val="-3"/>
        </w:rPr>
      </w:pPr>
      <w:r>
        <w:rPr>
          <w:spacing w:val="-3"/>
        </w:rPr>
        <w:t xml:space="preserve">Disponen los </w:t>
      </w:r>
      <w:r w:rsidR="002D568C" w:rsidRPr="002D568C">
        <w:rPr>
          <w:spacing w:val="-3"/>
        </w:rPr>
        <w:t>artículo</w:t>
      </w:r>
      <w:r>
        <w:rPr>
          <w:spacing w:val="-3"/>
        </w:rPr>
        <w:t>s</w:t>
      </w:r>
      <w:r w:rsidR="002D568C" w:rsidRPr="002D568C">
        <w:rPr>
          <w:spacing w:val="-3"/>
        </w:rPr>
        <w:t xml:space="preserve"> 7 de la Ley de Asistencia Jurídica del Estado e Instituciones Públicas</w:t>
      </w:r>
      <w:r>
        <w:rPr>
          <w:spacing w:val="-3"/>
        </w:rPr>
        <w:t xml:space="preserve"> </w:t>
      </w:r>
      <w:r w:rsidRPr="002D568C">
        <w:rPr>
          <w:spacing w:val="-3"/>
        </w:rPr>
        <w:t>de 27 de noviembre</w:t>
      </w:r>
      <w:r>
        <w:rPr>
          <w:spacing w:val="-3"/>
        </w:rPr>
        <w:t xml:space="preserve"> de 1997 y 41 del</w:t>
      </w:r>
      <w:r w:rsidRPr="002D568C">
        <w:rPr>
          <w:spacing w:val="-3"/>
        </w:rPr>
        <w:t xml:space="preserve"> Reglamento del Servicio Jurídico del Estado</w:t>
      </w:r>
      <w:r>
        <w:rPr>
          <w:spacing w:val="-3"/>
        </w:rPr>
        <w:t xml:space="preserve"> de 25 de julio de 2003 que s</w:t>
      </w:r>
      <w:r w:rsidR="002D568C" w:rsidRPr="002D568C">
        <w:rPr>
          <w:spacing w:val="-3"/>
        </w:rPr>
        <w:t xml:space="preserve">in perjuicio de lo dispuesto en leyes especiales, para que el </w:t>
      </w:r>
      <w:r>
        <w:rPr>
          <w:spacing w:val="-3"/>
        </w:rPr>
        <w:t>a</w:t>
      </w:r>
      <w:r w:rsidR="002D568C" w:rsidRPr="002D568C">
        <w:rPr>
          <w:spacing w:val="-3"/>
        </w:rPr>
        <w:t xml:space="preserve">bogado del Estado pueda válidamente desistir de acciones o recursos, apartarse de </w:t>
      </w:r>
      <w:r w:rsidR="002D568C" w:rsidRPr="002D568C">
        <w:rPr>
          <w:spacing w:val="-3"/>
        </w:rPr>
        <w:lastRenderedPageBreak/>
        <w:t xml:space="preserve">querellas, o allanarse a las pretensiones de la parte contraria, precisará autorización expresa de la </w:t>
      </w:r>
      <w:r>
        <w:rPr>
          <w:spacing w:val="-3"/>
        </w:rPr>
        <w:t>Abogacía General del Estado-</w:t>
      </w:r>
      <w:r w:rsidR="002D568C" w:rsidRPr="002D568C">
        <w:rPr>
          <w:spacing w:val="-3"/>
        </w:rPr>
        <w:t xml:space="preserve">Dirección del Servicio Jurídico del Estado que deberá, previamente, en todo caso, recabar informe del </w:t>
      </w:r>
      <w:r>
        <w:rPr>
          <w:spacing w:val="-3"/>
        </w:rPr>
        <w:t>d</w:t>
      </w:r>
      <w:r w:rsidR="002D568C" w:rsidRPr="002D568C">
        <w:rPr>
          <w:spacing w:val="-3"/>
        </w:rPr>
        <w:t xml:space="preserve">epartamento, </w:t>
      </w:r>
      <w:r>
        <w:rPr>
          <w:spacing w:val="-3"/>
        </w:rPr>
        <w:t>o</w:t>
      </w:r>
      <w:r w:rsidR="002D568C" w:rsidRPr="002D568C">
        <w:rPr>
          <w:spacing w:val="-3"/>
        </w:rPr>
        <w:t>rganismo o entidad pública correspondiente</w:t>
      </w:r>
      <w:r>
        <w:rPr>
          <w:spacing w:val="-3"/>
        </w:rPr>
        <w:t>, y que podrá otorgarse</w:t>
      </w:r>
      <w:r w:rsidR="002D568C" w:rsidRPr="002D568C">
        <w:rPr>
          <w:spacing w:val="-3"/>
        </w:rPr>
        <w:t xml:space="preserve"> con carácter singular, para cada caso particular, o con alcance general, para series de asuntos idénticos o de similares características.</w:t>
      </w:r>
    </w:p>
    <w:p w14:paraId="612BB3E7" w14:textId="4C2F38BB" w:rsidR="002D568C" w:rsidRPr="002D568C" w:rsidRDefault="002D568C" w:rsidP="00656C8D">
      <w:pPr>
        <w:pStyle w:val="Prrafodelista"/>
        <w:spacing w:before="120" w:after="120" w:line="360" w:lineRule="auto"/>
        <w:ind w:left="0" w:firstLine="709"/>
        <w:jc w:val="both"/>
        <w:rPr>
          <w:spacing w:val="-3"/>
        </w:rPr>
      </w:pPr>
      <w:r w:rsidRPr="002D568C">
        <w:rPr>
          <w:spacing w:val="-3"/>
        </w:rPr>
        <w:t>Cuando la asistencia jurídica se preste en virtud de convenio, se estará a lo que éste disponga; en su defecto, se aplicará el régimen establecido en el apartado anterior.</w:t>
      </w:r>
    </w:p>
    <w:p w14:paraId="2670FD25" w14:textId="1FCDEF3A" w:rsidR="002D568C" w:rsidRPr="002D568C" w:rsidRDefault="002D568C" w:rsidP="00656C8D">
      <w:pPr>
        <w:pStyle w:val="Prrafodelista"/>
        <w:spacing w:before="120" w:after="120" w:line="360" w:lineRule="auto"/>
        <w:ind w:left="0" w:firstLine="709"/>
        <w:jc w:val="both"/>
        <w:rPr>
          <w:spacing w:val="-3"/>
        </w:rPr>
      </w:pPr>
      <w:r w:rsidRPr="002D568C">
        <w:rPr>
          <w:spacing w:val="-3"/>
        </w:rPr>
        <w:t>En los procedimientos judiciales ante jueces o tribunales extranjeros, los actos de disposición de la acción procesal deberán ser autorizados por orden del Ministro de Asuntos Exteriores, previo informe favorable de la Abogacía General del Estado-Dirección del Servicio Jurídico del Estado y previa consulta al departamento, organismo o entidad interesados.</w:t>
      </w:r>
    </w:p>
    <w:p w14:paraId="372CED9B" w14:textId="5034D1FA" w:rsidR="002D568C" w:rsidRPr="002D568C" w:rsidRDefault="00F371DD" w:rsidP="00F371DD">
      <w:pPr>
        <w:pStyle w:val="Prrafodelista"/>
        <w:spacing w:before="120" w:after="120" w:line="360" w:lineRule="auto"/>
        <w:ind w:left="0" w:firstLine="709"/>
        <w:jc w:val="both"/>
        <w:rPr>
          <w:spacing w:val="-3"/>
        </w:rPr>
      </w:pPr>
      <w:r>
        <w:rPr>
          <w:spacing w:val="-3"/>
        </w:rPr>
        <w:t xml:space="preserve">Por su parte, la </w:t>
      </w:r>
      <w:r w:rsidR="002D568C" w:rsidRPr="002D568C">
        <w:rPr>
          <w:spacing w:val="-3"/>
        </w:rPr>
        <w:t>Instrucción de la Abogacía General del Estado-Dirección del Servicio Jurídico del Estado</w:t>
      </w:r>
      <w:r>
        <w:rPr>
          <w:spacing w:val="-3"/>
        </w:rPr>
        <w:t xml:space="preserve"> de 17 de mayo de 2010 autoriza a l</w:t>
      </w:r>
      <w:r w:rsidR="002D568C" w:rsidRPr="002D568C">
        <w:rPr>
          <w:spacing w:val="-3"/>
        </w:rPr>
        <w:t xml:space="preserve">os </w:t>
      </w:r>
      <w:r>
        <w:rPr>
          <w:spacing w:val="-3"/>
        </w:rPr>
        <w:t>a</w:t>
      </w:r>
      <w:r w:rsidR="002D568C" w:rsidRPr="002D568C">
        <w:rPr>
          <w:spacing w:val="-3"/>
        </w:rPr>
        <w:t>bogados del Estado</w:t>
      </w:r>
      <w:r>
        <w:rPr>
          <w:spacing w:val="-3"/>
        </w:rPr>
        <w:t>-J</w:t>
      </w:r>
      <w:r w:rsidR="002D568C" w:rsidRPr="002D568C">
        <w:rPr>
          <w:spacing w:val="-3"/>
        </w:rPr>
        <w:t>efe</w:t>
      </w:r>
      <w:r>
        <w:rPr>
          <w:spacing w:val="-3"/>
        </w:rPr>
        <w:t xml:space="preserve"> a </w:t>
      </w:r>
      <w:r w:rsidR="002D568C" w:rsidRPr="002D568C">
        <w:rPr>
          <w:spacing w:val="-3"/>
        </w:rPr>
        <w:t>desistir de las demandas, apartarse de querellas o allanarse a las pretensiones de la parte contraria cuando el órgano u organismo a cuya instancia se interpusieron lo solicite, o cuando, a la vista de circunstancias conocidas después de su interposición, entiendan que no cabe razonablemente sostenerlas</w:t>
      </w:r>
      <w:r>
        <w:rPr>
          <w:spacing w:val="-3"/>
        </w:rPr>
        <w:t xml:space="preserve">, con excepción de los asuntos clasificados con clave </w:t>
      </w:r>
      <w:r w:rsidR="002D568C" w:rsidRPr="002D568C">
        <w:rPr>
          <w:spacing w:val="-3"/>
        </w:rPr>
        <w:t>A, en los que siempre se necesitará autorización de la Abogacía General del Estado</w:t>
      </w:r>
      <w:r>
        <w:rPr>
          <w:spacing w:val="-3"/>
        </w:rPr>
        <w:t>, y aquellos en los que ésta exprese</w:t>
      </w:r>
      <w:r w:rsidR="002D568C" w:rsidRPr="002D568C">
        <w:rPr>
          <w:spacing w:val="-3"/>
        </w:rPr>
        <w:t xml:space="preserve"> la decisión de mantener la acción.</w:t>
      </w:r>
    </w:p>
    <w:p w14:paraId="223C9E4A" w14:textId="51D6674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todo caso, antes de desistir, apartarse de querellas o allanarse, y si no constase su conformidad, se recabará el parecer del </w:t>
      </w:r>
      <w:r w:rsidR="00F371DD">
        <w:rPr>
          <w:spacing w:val="-3"/>
        </w:rPr>
        <w:t>d</w:t>
      </w:r>
      <w:r w:rsidRPr="002D568C">
        <w:rPr>
          <w:spacing w:val="-3"/>
        </w:rPr>
        <w:t>epartamento, organismo o entidad pública afectada</w:t>
      </w:r>
      <w:r w:rsidR="00F371DD">
        <w:rPr>
          <w:spacing w:val="-3"/>
        </w:rPr>
        <w:t>,</w:t>
      </w:r>
      <w:r w:rsidRPr="002D568C">
        <w:rPr>
          <w:spacing w:val="-3"/>
        </w:rPr>
        <w:t xml:space="preserve"> pudiendo señalarse, en caso de urgencia, que de no emitirse en un plazo dado se entenderá conforme con dicha propuesta. Si e</w:t>
      </w:r>
      <w:r w:rsidR="00F371DD">
        <w:rPr>
          <w:spacing w:val="-3"/>
        </w:rPr>
        <w:t>ste</w:t>
      </w:r>
      <w:r w:rsidRPr="002D568C">
        <w:rPr>
          <w:spacing w:val="-3"/>
        </w:rPr>
        <w:t xml:space="preserve"> parecer no coincidiese con la valoración del </w:t>
      </w:r>
      <w:r w:rsidR="00F371DD">
        <w:rPr>
          <w:spacing w:val="-3"/>
        </w:rPr>
        <w:t>a</w:t>
      </w:r>
      <w:r w:rsidRPr="002D568C">
        <w:rPr>
          <w:spacing w:val="-3"/>
        </w:rPr>
        <w:t>bogado del Estado-</w:t>
      </w:r>
      <w:proofErr w:type="gramStart"/>
      <w:r w:rsidRPr="002D568C">
        <w:rPr>
          <w:spacing w:val="-3"/>
        </w:rPr>
        <w:t>Jefe</w:t>
      </w:r>
      <w:proofErr w:type="gramEnd"/>
      <w:r w:rsidRPr="002D568C">
        <w:rPr>
          <w:spacing w:val="-3"/>
        </w:rPr>
        <w:t>, éste elevará la cuestión a la Abogacía General del Estado, manteniéndose la acción hasta que ésta resuelva.</w:t>
      </w:r>
    </w:p>
    <w:p w14:paraId="01CD6A82" w14:textId="1A17FD03"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los procesos por delito contra la Hacienda Pública, insolvencia punible y contrabando, antes de solicitar o no oponerse al sobreseimiento, se pedirá parecer al órgano del Servicio Jurídico de la Agencia Tributaria que hubiera informado favorablemente la interposición de la denuncia o querella de que traiga causa el proceso. En asuntos </w:t>
      </w:r>
      <w:r w:rsidR="001359F5">
        <w:rPr>
          <w:spacing w:val="-3"/>
        </w:rPr>
        <w:t xml:space="preserve">con </w:t>
      </w:r>
      <w:r w:rsidRPr="002D568C">
        <w:rPr>
          <w:spacing w:val="-3"/>
        </w:rPr>
        <w:t>clave A, este parecer se pedirá con carácter previo a recabar la autorización de la Abogacía General del Estado. Todo ello sin perjuicio de que, a su vez, el Servicio jurídico de la Agencia Estatal de la Administración Tributaria deba, previamente a expresar su parecer, recabar la opinión del órgano afectado.</w:t>
      </w:r>
    </w:p>
    <w:p w14:paraId="63BE007F" w14:textId="77777777" w:rsidR="002D568C" w:rsidRPr="002D568C" w:rsidRDefault="002D568C" w:rsidP="00656C8D">
      <w:pPr>
        <w:pStyle w:val="Prrafodelista"/>
        <w:spacing w:before="120" w:after="120" w:line="360" w:lineRule="auto"/>
        <w:ind w:left="0" w:firstLine="709"/>
        <w:jc w:val="both"/>
        <w:rPr>
          <w:spacing w:val="-3"/>
        </w:rPr>
      </w:pPr>
    </w:p>
    <w:p w14:paraId="0B25E5CD" w14:textId="7E72C289" w:rsidR="002D568C" w:rsidRPr="00F371DD" w:rsidRDefault="002D568C" w:rsidP="00F371DD">
      <w:pPr>
        <w:spacing w:before="120" w:after="120" w:line="360" w:lineRule="auto"/>
        <w:jc w:val="both"/>
        <w:rPr>
          <w:b/>
          <w:bCs/>
          <w:spacing w:val="-3"/>
        </w:rPr>
      </w:pPr>
      <w:r w:rsidRPr="00F371DD">
        <w:rPr>
          <w:b/>
          <w:bCs/>
          <w:spacing w:val="-3"/>
        </w:rPr>
        <w:t>LA CADUCIDAD</w:t>
      </w:r>
      <w:r w:rsidR="00F371DD" w:rsidRPr="00F371DD">
        <w:rPr>
          <w:b/>
          <w:bCs/>
          <w:spacing w:val="-3"/>
        </w:rPr>
        <w:t>.</w:t>
      </w:r>
    </w:p>
    <w:p w14:paraId="01F5A497" w14:textId="4F504183" w:rsidR="000A4FA2" w:rsidRPr="002D568C" w:rsidRDefault="002D568C" w:rsidP="000A4FA2">
      <w:pPr>
        <w:pStyle w:val="Prrafodelista"/>
        <w:spacing w:before="120" w:after="120" w:line="360" w:lineRule="auto"/>
        <w:ind w:left="0" w:firstLine="709"/>
        <w:jc w:val="both"/>
        <w:rPr>
          <w:spacing w:val="-3"/>
        </w:rPr>
      </w:pPr>
      <w:r w:rsidRPr="002D568C">
        <w:rPr>
          <w:spacing w:val="-3"/>
        </w:rPr>
        <w:t>La caducidad es la causa de terminación del proceso por el transcurso del tiempo unido a la inactividad de los litigantes</w:t>
      </w:r>
      <w:r w:rsidR="00F371DD">
        <w:rPr>
          <w:spacing w:val="-3"/>
        </w:rPr>
        <w:t>, y e</w:t>
      </w:r>
      <w:r w:rsidRPr="002D568C">
        <w:rPr>
          <w:spacing w:val="-3"/>
        </w:rPr>
        <w:t xml:space="preserve">stá regulada </w:t>
      </w:r>
      <w:r w:rsidR="00F371DD">
        <w:rPr>
          <w:spacing w:val="-3"/>
        </w:rPr>
        <w:t>por</w:t>
      </w:r>
      <w:r w:rsidRPr="002D568C">
        <w:rPr>
          <w:spacing w:val="-3"/>
        </w:rPr>
        <w:t xml:space="preserve"> los artículos 236 a 240 </w:t>
      </w:r>
      <w:r w:rsidR="00F371DD">
        <w:rPr>
          <w:spacing w:val="-3"/>
        </w:rPr>
        <w:t>de la Ley de Enjuiciamiento Civil, cuyas reglas esenciales son las siguientes:</w:t>
      </w:r>
    </w:p>
    <w:p w14:paraId="7678499E" w14:textId="2DEC91FE" w:rsidR="002D568C" w:rsidRDefault="000A4FA2" w:rsidP="00EA1501">
      <w:pPr>
        <w:pStyle w:val="Prrafodelista"/>
        <w:numPr>
          <w:ilvl w:val="0"/>
          <w:numId w:val="10"/>
        </w:numPr>
        <w:spacing w:before="120" w:after="120" w:line="360" w:lineRule="auto"/>
        <w:ind w:left="993" w:hanging="284"/>
        <w:jc w:val="both"/>
        <w:rPr>
          <w:spacing w:val="-3"/>
        </w:rPr>
      </w:pPr>
      <w:r>
        <w:rPr>
          <w:spacing w:val="-3"/>
        </w:rPr>
        <w:t>L</w:t>
      </w:r>
      <w:r w:rsidR="002D568C" w:rsidRPr="002D568C">
        <w:rPr>
          <w:spacing w:val="-3"/>
        </w:rPr>
        <w:t>a falta de impulso del procedimiento por las partes no originará la caducidad de la instancia o del recurso.</w:t>
      </w:r>
    </w:p>
    <w:p w14:paraId="4D443295" w14:textId="1541864F" w:rsidR="000A4FA2" w:rsidRDefault="000A4FA2" w:rsidP="00EA1501">
      <w:pPr>
        <w:pStyle w:val="Prrafodelista"/>
        <w:numPr>
          <w:ilvl w:val="0"/>
          <w:numId w:val="10"/>
        </w:numPr>
        <w:spacing w:before="120" w:after="120" w:line="360" w:lineRule="auto"/>
        <w:ind w:left="993" w:hanging="284"/>
        <w:jc w:val="both"/>
        <w:rPr>
          <w:spacing w:val="-3"/>
        </w:rPr>
      </w:pPr>
      <w:r>
        <w:rPr>
          <w:spacing w:val="-3"/>
        </w:rPr>
        <w:t>No obstante, s</w:t>
      </w:r>
      <w:r w:rsidRPr="002D568C">
        <w:rPr>
          <w:spacing w:val="-3"/>
        </w:rPr>
        <w:t>e tendrá por abandonad</w:t>
      </w:r>
      <w:r>
        <w:rPr>
          <w:spacing w:val="-3"/>
        </w:rPr>
        <w:t>o el proceso</w:t>
      </w:r>
      <w:r w:rsidRPr="002D568C">
        <w:rPr>
          <w:spacing w:val="-3"/>
        </w:rPr>
        <w:t xml:space="preserve"> si no se produce actividad procesal alguna en el plazo de dos años</w:t>
      </w:r>
      <w:r w:rsidR="00EA1501">
        <w:rPr>
          <w:spacing w:val="-3"/>
        </w:rPr>
        <w:t xml:space="preserve"> desde la última notificación</w:t>
      </w:r>
      <w:r w:rsidRPr="002D568C">
        <w:rPr>
          <w:spacing w:val="-3"/>
        </w:rPr>
        <w:t>, cuando el pleito se hallare en primera instancia</w:t>
      </w:r>
      <w:r>
        <w:rPr>
          <w:spacing w:val="-3"/>
        </w:rPr>
        <w:t>,</w:t>
      </w:r>
      <w:r w:rsidRPr="002D568C">
        <w:rPr>
          <w:spacing w:val="-3"/>
        </w:rPr>
        <w:t xml:space="preserve"> y de uno, si estuviere en segunda instancia o pendiente de recurso extraordinario por infracción procesal o de casación.</w:t>
      </w:r>
    </w:p>
    <w:p w14:paraId="0DCA3315" w14:textId="466852EE" w:rsidR="009360AC" w:rsidRDefault="009360AC" w:rsidP="009360AC">
      <w:pPr>
        <w:pStyle w:val="Prrafodelista"/>
        <w:numPr>
          <w:ilvl w:val="0"/>
          <w:numId w:val="10"/>
        </w:numPr>
        <w:spacing w:before="120" w:after="120" w:line="360" w:lineRule="auto"/>
        <w:ind w:left="993" w:hanging="284"/>
        <w:jc w:val="both"/>
        <w:rPr>
          <w:spacing w:val="-3"/>
        </w:rPr>
      </w:pPr>
      <w:r w:rsidRPr="00EA1501">
        <w:rPr>
          <w:spacing w:val="-3"/>
        </w:rPr>
        <w:t>Contra el decreto que declare la caducidad sólo cabrá recurso de revisión</w:t>
      </w:r>
      <w:r>
        <w:rPr>
          <w:spacing w:val="-3"/>
        </w:rPr>
        <w:t>.</w:t>
      </w:r>
    </w:p>
    <w:p w14:paraId="2B42501A" w14:textId="6FD2C382" w:rsidR="009360AC" w:rsidRPr="009360AC" w:rsidRDefault="009360AC" w:rsidP="009360AC">
      <w:pPr>
        <w:pStyle w:val="Prrafodelista"/>
        <w:numPr>
          <w:ilvl w:val="0"/>
          <w:numId w:val="10"/>
        </w:numPr>
        <w:spacing w:before="120" w:after="120" w:line="360" w:lineRule="auto"/>
        <w:ind w:left="993" w:hanging="284"/>
        <w:jc w:val="both"/>
        <w:rPr>
          <w:spacing w:val="-3"/>
        </w:rPr>
      </w:pPr>
      <w:r w:rsidRPr="002D568C">
        <w:rPr>
          <w:spacing w:val="-3"/>
        </w:rPr>
        <w:t xml:space="preserve">La declaración de caducidad no </w:t>
      </w:r>
      <w:r>
        <w:rPr>
          <w:spacing w:val="-3"/>
        </w:rPr>
        <w:t>impondrá las costas</w:t>
      </w:r>
      <w:r w:rsidRPr="002D568C">
        <w:rPr>
          <w:spacing w:val="-3"/>
        </w:rPr>
        <w:t xml:space="preserve"> </w:t>
      </w:r>
      <w:r>
        <w:rPr>
          <w:spacing w:val="-3"/>
        </w:rPr>
        <w:t>a ninguna de las partes.</w:t>
      </w:r>
    </w:p>
    <w:p w14:paraId="46AAF110" w14:textId="3524D233" w:rsidR="00EA1501" w:rsidRDefault="00EA1501" w:rsidP="00EA1501">
      <w:pPr>
        <w:pStyle w:val="Prrafodelista"/>
        <w:numPr>
          <w:ilvl w:val="0"/>
          <w:numId w:val="10"/>
        </w:numPr>
        <w:spacing w:before="120" w:after="120" w:line="360" w:lineRule="auto"/>
        <w:ind w:left="993" w:hanging="284"/>
        <w:jc w:val="both"/>
        <w:rPr>
          <w:spacing w:val="-3"/>
        </w:rPr>
      </w:pPr>
      <w:r w:rsidRPr="002D568C">
        <w:rPr>
          <w:spacing w:val="-3"/>
        </w:rPr>
        <w:t>Si la caducidad se produjere en la primera instancia, se entenderá producido el desistimiento en dicha instancia, por lo que podrá interponerse nueva demanda</w:t>
      </w:r>
      <w:r>
        <w:rPr>
          <w:spacing w:val="-3"/>
        </w:rPr>
        <w:t>.</w:t>
      </w:r>
    </w:p>
    <w:p w14:paraId="6E5B7720" w14:textId="533D1EB7" w:rsidR="002D568C" w:rsidRDefault="002D568C" w:rsidP="00EA1501">
      <w:pPr>
        <w:pStyle w:val="Prrafodelista"/>
        <w:numPr>
          <w:ilvl w:val="0"/>
          <w:numId w:val="10"/>
        </w:numPr>
        <w:spacing w:before="120" w:after="120" w:line="360" w:lineRule="auto"/>
        <w:ind w:left="993" w:hanging="284"/>
        <w:jc w:val="both"/>
        <w:rPr>
          <w:spacing w:val="-3"/>
        </w:rPr>
      </w:pPr>
      <w:r w:rsidRPr="002D568C">
        <w:rPr>
          <w:spacing w:val="-3"/>
        </w:rPr>
        <w:t xml:space="preserve">Si la caducidad se produjere en </w:t>
      </w:r>
      <w:r w:rsidR="00B22BF3">
        <w:rPr>
          <w:spacing w:val="-3"/>
        </w:rPr>
        <w:t xml:space="preserve">la </w:t>
      </w:r>
      <w:r w:rsidRPr="002D568C">
        <w:rPr>
          <w:spacing w:val="-3"/>
        </w:rPr>
        <w:t xml:space="preserve">segunda instancia o en los recursos, se tendrá por desistida la apelación o </w:t>
      </w:r>
      <w:r w:rsidR="008B5D74">
        <w:rPr>
          <w:spacing w:val="-3"/>
        </w:rPr>
        <w:t xml:space="preserve">el </w:t>
      </w:r>
      <w:r w:rsidRPr="002D568C">
        <w:rPr>
          <w:spacing w:val="-3"/>
        </w:rPr>
        <w:t>recurso y por firme la resolución recurrida.</w:t>
      </w:r>
    </w:p>
    <w:p w14:paraId="7A2E0406" w14:textId="77777777" w:rsidR="009360AC" w:rsidRPr="00EA1501" w:rsidRDefault="009360AC" w:rsidP="009360AC">
      <w:pPr>
        <w:pStyle w:val="Prrafodelista"/>
        <w:numPr>
          <w:ilvl w:val="0"/>
          <w:numId w:val="10"/>
        </w:numPr>
        <w:spacing w:before="120" w:after="120" w:line="360" w:lineRule="auto"/>
        <w:ind w:left="993" w:hanging="284"/>
        <w:jc w:val="both"/>
        <w:rPr>
          <w:spacing w:val="-3"/>
        </w:rPr>
      </w:pPr>
      <w:r>
        <w:rPr>
          <w:spacing w:val="-3"/>
        </w:rPr>
        <w:t>N</w:t>
      </w:r>
      <w:r w:rsidRPr="002D568C">
        <w:rPr>
          <w:spacing w:val="-3"/>
        </w:rPr>
        <w:t xml:space="preserve">o se producirá caducidad si el procedimiento hubiere quedado paralizado por fuerza mayor </w:t>
      </w:r>
      <w:r>
        <w:rPr>
          <w:spacing w:val="-3"/>
        </w:rPr>
        <w:t xml:space="preserve">u </w:t>
      </w:r>
      <w:r w:rsidRPr="002D568C">
        <w:rPr>
          <w:spacing w:val="-3"/>
        </w:rPr>
        <w:t>otra causa no imputable a la</w:t>
      </w:r>
      <w:r>
        <w:rPr>
          <w:spacing w:val="-3"/>
        </w:rPr>
        <w:t>s</w:t>
      </w:r>
      <w:r w:rsidRPr="002D568C">
        <w:rPr>
          <w:spacing w:val="-3"/>
        </w:rPr>
        <w:t xml:space="preserve"> partes o interesados</w:t>
      </w:r>
      <w:r>
        <w:rPr>
          <w:spacing w:val="-3"/>
        </w:rPr>
        <w:t>.</w:t>
      </w:r>
    </w:p>
    <w:p w14:paraId="206FC039" w14:textId="79EAF93B" w:rsidR="009360AC" w:rsidRPr="009360AC" w:rsidRDefault="009360AC" w:rsidP="009360AC">
      <w:pPr>
        <w:pStyle w:val="Prrafodelista"/>
        <w:numPr>
          <w:ilvl w:val="0"/>
          <w:numId w:val="10"/>
        </w:numPr>
        <w:spacing w:before="120" w:after="120" w:line="360" w:lineRule="auto"/>
        <w:ind w:left="993" w:hanging="284"/>
        <w:jc w:val="both"/>
        <w:rPr>
          <w:spacing w:val="-3"/>
        </w:rPr>
      </w:pPr>
      <w:r>
        <w:rPr>
          <w:spacing w:val="-3"/>
        </w:rPr>
        <w:t xml:space="preserve">Tampoco se producirá </w:t>
      </w:r>
      <w:r w:rsidRPr="002D568C">
        <w:rPr>
          <w:spacing w:val="-3"/>
        </w:rPr>
        <w:t>en las actuaciones para la ejecución forzosa, las cuales se podrán proseguir hasta obtener el cumplimiento de lo juzgado.</w:t>
      </w:r>
    </w:p>
    <w:p w14:paraId="6D0BCDA8" w14:textId="77777777" w:rsidR="00B40E80" w:rsidRPr="002D568C" w:rsidRDefault="00B40E80" w:rsidP="00656C8D">
      <w:pPr>
        <w:pStyle w:val="Prrafodelista"/>
        <w:spacing w:before="120" w:after="120" w:line="360" w:lineRule="auto"/>
        <w:ind w:left="0" w:firstLine="709"/>
        <w:jc w:val="both"/>
        <w:rPr>
          <w:spacing w:val="-3"/>
        </w:rPr>
      </w:pPr>
    </w:p>
    <w:p w14:paraId="681150FA" w14:textId="77777777" w:rsidR="00B40E80" w:rsidRPr="00B40E80" w:rsidRDefault="002D568C" w:rsidP="00B40E80">
      <w:pPr>
        <w:pStyle w:val="Prrafodelista"/>
        <w:spacing w:before="120" w:after="120" w:line="360" w:lineRule="auto"/>
        <w:ind w:left="0"/>
        <w:jc w:val="both"/>
        <w:rPr>
          <w:b/>
          <w:bCs/>
          <w:spacing w:val="-3"/>
        </w:rPr>
      </w:pPr>
      <w:r w:rsidRPr="00EA1501">
        <w:rPr>
          <w:b/>
          <w:bCs/>
          <w:spacing w:val="-3"/>
        </w:rPr>
        <w:t>LA SUSPENSIÓN DEL PROCESO</w:t>
      </w:r>
      <w:r w:rsidR="00B40E80">
        <w:rPr>
          <w:b/>
          <w:bCs/>
          <w:spacing w:val="-3"/>
        </w:rPr>
        <w:t xml:space="preserve">; </w:t>
      </w:r>
      <w:r w:rsidR="00B40E80" w:rsidRPr="00B40E80">
        <w:rPr>
          <w:b/>
          <w:bCs/>
          <w:spacing w:val="-3"/>
        </w:rPr>
        <w:t>LA SUSPENSIÓN DEL CURSO DE LOS AUTOS PARA ELEVAR CONSULTA A LA ABOGACÍA GENERAL DEL ESTADO.</w:t>
      </w:r>
    </w:p>
    <w:p w14:paraId="42F00C24" w14:textId="4647641E" w:rsidR="002D568C" w:rsidRPr="002D568C" w:rsidRDefault="005758EF" w:rsidP="00656C8D">
      <w:pPr>
        <w:pStyle w:val="Prrafodelista"/>
        <w:spacing w:before="120" w:after="120" w:line="360" w:lineRule="auto"/>
        <w:ind w:left="0" w:firstLine="709"/>
        <w:jc w:val="both"/>
        <w:rPr>
          <w:spacing w:val="-3"/>
        </w:rPr>
      </w:pPr>
      <w:r>
        <w:rPr>
          <w:spacing w:val="-3"/>
        </w:rPr>
        <w:t>Dispone e</w:t>
      </w:r>
      <w:r w:rsidR="002D568C" w:rsidRPr="002D568C">
        <w:rPr>
          <w:spacing w:val="-3"/>
        </w:rPr>
        <w:t xml:space="preserve">l artículo 19.4 </w:t>
      </w:r>
      <w:r>
        <w:rPr>
          <w:spacing w:val="-3"/>
        </w:rPr>
        <w:t>de la Ley de Enjuiciamiento Civil</w:t>
      </w:r>
      <w:r w:rsidRPr="002D568C">
        <w:rPr>
          <w:spacing w:val="-3"/>
        </w:rPr>
        <w:t xml:space="preserve"> </w:t>
      </w:r>
      <w:r w:rsidR="00842B32">
        <w:rPr>
          <w:spacing w:val="-3"/>
        </w:rPr>
        <w:t xml:space="preserve">que </w:t>
      </w:r>
      <w:r w:rsidR="002D568C" w:rsidRPr="002D568C">
        <w:rPr>
          <w:spacing w:val="-3"/>
        </w:rPr>
        <w:t xml:space="preserve">las partes podrán solicitar la suspensión del proceso, que será </w:t>
      </w:r>
      <w:r>
        <w:rPr>
          <w:spacing w:val="-3"/>
        </w:rPr>
        <w:t>decret</w:t>
      </w:r>
      <w:r w:rsidR="002D568C" w:rsidRPr="002D568C">
        <w:rPr>
          <w:spacing w:val="-3"/>
        </w:rPr>
        <w:t xml:space="preserve">ada por el </w:t>
      </w:r>
      <w:r>
        <w:rPr>
          <w:spacing w:val="-3"/>
        </w:rPr>
        <w:t>letrado de la Administración de Justicia</w:t>
      </w:r>
      <w:r w:rsidR="002D568C" w:rsidRPr="002D568C">
        <w:rPr>
          <w:spacing w:val="-3"/>
        </w:rPr>
        <w:t xml:space="preserve"> siempre que no perjudique al interés general o a tercero y que el plazo de la suspensión no supere los sesenta días.</w:t>
      </w:r>
    </w:p>
    <w:p w14:paraId="7D096C76" w14:textId="2D5B33D0" w:rsidR="002D568C" w:rsidRPr="002D568C" w:rsidRDefault="00706E75" w:rsidP="00656C8D">
      <w:pPr>
        <w:pStyle w:val="Prrafodelista"/>
        <w:spacing w:before="120" w:after="120" w:line="360" w:lineRule="auto"/>
        <w:ind w:left="0" w:firstLine="709"/>
        <w:jc w:val="both"/>
        <w:rPr>
          <w:spacing w:val="-3"/>
        </w:rPr>
      </w:pPr>
      <w:r>
        <w:rPr>
          <w:spacing w:val="-3"/>
        </w:rPr>
        <w:t>El artículo 179</w:t>
      </w:r>
      <w:r w:rsidR="002F6709">
        <w:rPr>
          <w:spacing w:val="-3"/>
        </w:rPr>
        <w:t xml:space="preserve">.2 </w:t>
      </w:r>
      <w:r w:rsidR="002F6709">
        <w:rPr>
          <w:spacing w:val="-3"/>
        </w:rPr>
        <w:t>de la Ley de Enjuiciamiento Civil</w:t>
      </w:r>
      <w:r w:rsidR="002F6709" w:rsidRPr="002D568C">
        <w:rPr>
          <w:spacing w:val="-3"/>
        </w:rPr>
        <w:t xml:space="preserve"> </w:t>
      </w:r>
      <w:r w:rsidR="002F6709">
        <w:rPr>
          <w:spacing w:val="-3"/>
        </w:rPr>
        <w:t xml:space="preserve">dispone que el procedimiento </w:t>
      </w:r>
      <w:r w:rsidR="002F6709" w:rsidRPr="002F6709">
        <w:rPr>
          <w:spacing w:val="-3"/>
        </w:rPr>
        <w:t xml:space="preserve">se reanudará si lo solicita cualquiera de las partes. Si, transcurrido el plazo por el que se acordó la suspensión, nadie pidiere, en los cinco días siguientes, la reanudación del proceso, el </w:t>
      </w:r>
      <w:r w:rsidR="002F6709">
        <w:rPr>
          <w:spacing w:val="-3"/>
        </w:rPr>
        <w:t>l</w:t>
      </w:r>
      <w:r w:rsidR="002F6709" w:rsidRPr="002F6709">
        <w:rPr>
          <w:spacing w:val="-3"/>
        </w:rPr>
        <w:t xml:space="preserve">etrado de la Administración de Justicia acordará archivar provisionalmente los autos y </w:t>
      </w:r>
      <w:r w:rsidR="002F6709" w:rsidRPr="002F6709">
        <w:rPr>
          <w:spacing w:val="-3"/>
        </w:rPr>
        <w:lastRenderedPageBreak/>
        <w:t>permanecerán en tal situación mientras no se solicite la continuación del proceso o se produzca la caducidad de instancia</w:t>
      </w:r>
      <w:r w:rsidR="002F6709">
        <w:rPr>
          <w:spacing w:val="-3"/>
        </w:rPr>
        <w:t>.</w:t>
      </w:r>
    </w:p>
    <w:p w14:paraId="6D92E90B" w14:textId="513D93EB" w:rsidR="002D568C" w:rsidRDefault="002D568C" w:rsidP="00656C8D">
      <w:pPr>
        <w:pStyle w:val="Prrafodelista"/>
        <w:spacing w:before="120" w:after="120" w:line="360" w:lineRule="auto"/>
        <w:ind w:left="0" w:firstLine="709"/>
        <w:jc w:val="both"/>
        <w:rPr>
          <w:spacing w:val="-3"/>
        </w:rPr>
      </w:pPr>
    </w:p>
    <w:p w14:paraId="70BC3D08" w14:textId="1BA41E43" w:rsidR="002D568C" w:rsidRPr="00B40E80" w:rsidRDefault="00B40E80" w:rsidP="00B40E80">
      <w:pPr>
        <w:pStyle w:val="Prrafodelista"/>
        <w:spacing w:before="120" w:after="120" w:line="360" w:lineRule="auto"/>
        <w:ind w:left="0" w:firstLine="709"/>
        <w:jc w:val="both"/>
        <w:rPr>
          <w:b/>
          <w:bCs/>
          <w:spacing w:val="-3"/>
        </w:rPr>
      </w:pPr>
      <w:r>
        <w:rPr>
          <w:b/>
          <w:bCs/>
          <w:spacing w:val="-3"/>
        </w:rPr>
        <w:t>L</w:t>
      </w:r>
      <w:r w:rsidRPr="00B40E80">
        <w:rPr>
          <w:b/>
          <w:bCs/>
          <w:spacing w:val="-3"/>
        </w:rPr>
        <w:t xml:space="preserve">a suspensión del curso de los autos para elevar consulta a la </w:t>
      </w:r>
      <w:r>
        <w:rPr>
          <w:b/>
          <w:bCs/>
          <w:spacing w:val="-3"/>
        </w:rPr>
        <w:t>A</w:t>
      </w:r>
      <w:r w:rsidRPr="00B40E80">
        <w:rPr>
          <w:b/>
          <w:bCs/>
          <w:spacing w:val="-3"/>
        </w:rPr>
        <w:t xml:space="preserve">bogacía </w:t>
      </w:r>
      <w:r>
        <w:rPr>
          <w:b/>
          <w:bCs/>
          <w:spacing w:val="-3"/>
        </w:rPr>
        <w:t>G</w:t>
      </w:r>
      <w:r w:rsidRPr="00B40E80">
        <w:rPr>
          <w:b/>
          <w:bCs/>
          <w:spacing w:val="-3"/>
        </w:rPr>
        <w:t xml:space="preserve">eneral del </w:t>
      </w:r>
      <w:r>
        <w:rPr>
          <w:b/>
          <w:bCs/>
          <w:spacing w:val="-3"/>
        </w:rPr>
        <w:t>E</w:t>
      </w:r>
      <w:r w:rsidRPr="00B40E80">
        <w:rPr>
          <w:b/>
          <w:bCs/>
          <w:spacing w:val="-3"/>
        </w:rPr>
        <w:t>stado.</w:t>
      </w:r>
    </w:p>
    <w:p w14:paraId="7E98E687" w14:textId="00CAB522" w:rsidR="002D568C" w:rsidRPr="002D568C" w:rsidRDefault="004C3CC0" w:rsidP="00B80281">
      <w:pPr>
        <w:pStyle w:val="Prrafodelista"/>
        <w:spacing w:before="120" w:after="120" w:line="360" w:lineRule="auto"/>
        <w:ind w:left="0" w:firstLine="709"/>
        <w:jc w:val="both"/>
        <w:rPr>
          <w:spacing w:val="-3"/>
        </w:rPr>
      </w:pPr>
      <w:r>
        <w:rPr>
          <w:spacing w:val="-3"/>
        </w:rPr>
        <w:t xml:space="preserve">Disponen los </w:t>
      </w:r>
      <w:r w:rsidRPr="002D568C">
        <w:rPr>
          <w:spacing w:val="-3"/>
        </w:rPr>
        <w:t>artículo</w:t>
      </w:r>
      <w:r>
        <w:rPr>
          <w:spacing w:val="-3"/>
        </w:rPr>
        <w:t>s</w:t>
      </w:r>
      <w:r w:rsidRPr="002D568C">
        <w:rPr>
          <w:spacing w:val="-3"/>
        </w:rPr>
        <w:t xml:space="preserve"> </w:t>
      </w:r>
      <w:r>
        <w:rPr>
          <w:spacing w:val="-3"/>
        </w:rPr>
        <w:t>14</w:t>
      </w:r>
      <w:r w:rsidRPr="002D568C">
        <w:rPr>
          <w:spacing w:val="-3"/>
        </w:rPr>
        <w:t xml:space="preserve"> de la Ley de Asistencia Jurídica del Estado </w:t>
      </w:r>
      <w:r>
        <w:rPr>
          <w:spacing w:val="-3"/>
        </w:rPr>
        <w:t xml:space="preserve">y </w:t>
      </w:r>
      <w:r>
        <w:rPr>
          <w:spacing w:val="-3"/>
        </w:rPr>
        <w:t>39</w:t>
      </w:r>
      <w:r>
        <w:rPr>
          <w:spacing w:val="-3"/>
        </w:rPr>
        <w:t xml:space="preserve"> del</w:t>
      </w:r>
      <w:r w:rsidRPr="002D568C">
        <w:rPr>
          <w:spacing w:val="-3"/>
        </w:rPr>
        <w:t xml:space="preserve"> Reglamento del Servicio Jurídico del Estado</w:t>
      </w:r>
      <w:r>
        <w:rPr>
          <w:spacing w:val="-3"/>
        </w:rPr>
        <w:t xml:space="preserve"> que</w:t>
      </w:r>
      <w:r w:rsidR="00B80281">
        <w:rPr>
          <w:spacing w:val="-3"/>
        </w:rPr>
        <w:t xml:space="preserve"> en los procesos civiles </w:t>
      </w:r>
      <w:r w:rsidR="002D568C" w:rsidRPr="002D568C">
        <w:rPr>
          <w:spacing w:val="-3"/>
        </w:rPr>
        <w:t xml:space="preserve">que se dirijan contra el Estado, sus </w:t>
      </w:r>
      <w:r w:rsidR="00B80281">
        <w:rPr>
          <w:spacing w:val="-3"/>
        </w:rPr>
        <w:t>o</w:t>
      </w:r>
      <w:r w:rsidR="002D568C" w:rsidRPr="002D568C">
        <w:rPr>
          <w:spacing w:val="-3"/>
        </w:rPr>
        <w:t xml:space="preserve">rganismos </w:t>
      </w:r>
      <w:r w:rsidR="00B80281">
        <w:rPr>
          <w:spacing w:val="-3"/>
        </w:rPr>
        <w:t xml:space="preserve">o </w:t>
      </w:r>
      <w:r w:rsidR="002D568C" w:rsidRPr="002D568C">
        <w:rPr>
          <w:spacing w:val="-3"/>
        </w:rPr>
        <w:t xml:space="preserve">entidades públicas o los órganos constitucionales, el </w:t>
      </w:r>
      <w:r w:rsidR="00B80281">
        <w:rPr>
          <w:spacing w:val="-3"/>
        </w:rPr>
        <w:t>a</w:t>
      </w:r>
      <w:r w:rsidR="002D568C" w:rsidRPr="002D568C">
        <w:rPr>
          <w:spacing w:val="-3"/>
        </w:rPr>
        <w:t>bogado del Estado, al recibir el primer traslado, citación o notificación</w:t>
      </w:r>
      <w:r w:rsidR="00B7214F">
        <w:rPr>
          <w:spacing w:val="-3"/>
        </w:rPr>
        <w:t>,</w:t>
      </w:r>
      <w:r w:rsidR="002D568C" w:rsidRPr="002D568C">
        <w:rPr>
          <w:spacing w:val="-3"/>
        </w:rPr>
        <w:t xml:space="preserve"> podrá pedir la suspensión del curso de los autos</w:t>
      </w:r>
      <w:r w:rsidR="009D7448">
        <w:rPr>
          <w:spacing w:val="-3"/>
        </w:rPr>
        <w:t xml:space="preserve"> para elevar consulta</w:t>
      </w:r>
      <w:r w:rsidR="00874BAD">
        <w:rPr>
          <w:spacing w:val="-3"/>
        </w:rPr>
        <w:t xml:space="preserve"> </w:t>
      </w:r>
      <w:r w:rsidR="00874BAD" w:rsidRPr="002D568C">
        <w:rPr>
          <w:spacing w:val="-3"/>
        </w:rPr>
        <w:t>Abogacía General del Estado-Dirección del Servicio Jurídico del Estado</w:t>
      </w:r>
      <w:r w:rsidR="002D568C" w:rsidRPr="002D568C">
        <w:rPr>
          <w:spacing w:val="-3"/>
        </w:rPr>
        <w:t xml:space="preserve">, </w:t>
      </w:r>
      <w:r w:rsidR="00874BAD">
        <w:rPr>
          <w:spacing w:val="-3"/>
        </w:rPr>
        <w:t xml:space="preserve">suspensión que será acordada </w:t>
      </w:r>
      <w:r w:rsidR="002D568C" w:rsidRPr="002D568C">
        <w:rPr>
          <w:spacing w:val="-3"/>
        </w:rPr>
        <w:t xml:space="preserve">salvo que, excepcionalmente, se estime </w:t>
      </w:r>
      <w:r w:rsidR="00874BAD">
        <w:rPr>
          <w:spacing w:val="-3"/>
        </w:rPr>
        <w:t xml:space="preserve">mediante auto </w:t>
      </w:r>
      <w:r w:rsidR="002D568C" w:rsidRPr="002D568C">
        <w:rPr>
          <w:spacing w:val="-3"/>
        </w:rPr>
        <w:t>que ello produciría grave daño para el interés general.</w:t>
      </w:r>
    </w:p>
    <w:p w14:paraId="5E37699B" w14:textId="390CD2AF"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plazo de suspensión será fijado discrecionalmente por el </w:t>
      </w:r>
      <w:r w:rsidR="00874BAD">
        <w:rPr>
          <w:spacing w:val="-3"/>
        </w:rPr>
        <w:t>j</w:t>
      </w:r>
      <w:r w:rsidRPr="002D568C">
        <w:rPr>
          <w:spacing w:val="-3"/>
        </w:rPr>
        <w:t>uez, sin que pueda exceder de un mes ni ser inferior a quince días</w:t>
      </w:r>
      <w:r w:rsidR="004A4FEE">
        <w:rPr>
          <w:spacing w:val="-3"/>
        </w:rPr>
        <w:t xml:space="preserve">, si bien </w:t>
      </w:r>
      <w:r w:rsidR="00A95C59">
        <w:rPr>
          <w:spacing w:val="-3"/>
        </w:rPr>
        <w:t>e</w:t>
      </w:r>
      <w:r w:rsidRPr="002D568C">
        <w:rPr>
          <w:spacing w:val="-3"/>
        </w:rPr>
        <w:t xml:space="preserve">n los </w:t>
      </w:r>
      <w:r w:rsidR="00031F4B">
        <w:rPr>
          <w:spacing w:val="-3"/>
        </w:rPr>
        <w:t xml:space="preserve">juicios verbales </w:t>
      </w:r>
      <w:r w:rsidR="00A95C59">
        <w:rPr>
          <w:spacing w:val="-3"/>
        </w:rPr>
        <w:t>de tutela sumaria de la posesión</w:t>
      </w:r>
      <w:r w:rsidR="0027232C">
        <w:rPr>
          <w:spacing w:val="-3"/>
        </w:rPr>
        <w:t xml:space="preserve"> o para la efectividad de derechos reales inscritos</w:t>
      </w:r>
      <w:r w:rsidRPr="002D568C">
        <w:rPr>
          <w:spacing w:val="-3"/>
        </w:rPr>
        <w:t xml:space="preserve">, aseguramiento de bienes litigiosos e incidentes, el plazo no </w:t>
      </w:r>
      <w:r w:rsidR="00B030F5">
        <w:rPr>
          <w:spacing w:val="-3"/>
        </w:rPr>
        <w:t>podrá ser</w:t>
      </w:r>
      <w:r w:rsidRPr="002D568C">
        <w:rPr>
          <w:spacing w:val="-3"/>
        </w:rPr>
        <w:t xml:space="preserve"> superior a diez días ni inferior a seis.</w:t>
      </w:r>
    </w:p>
    <w:p w14:paraId="2C77D5F8" w14:textId="52B20C5F" w:rsidR="002D568C" w:rsidRDefault="00625AC4" w:rsidP="00656C8D">
      <w:pPr>
        <w:pStyle w:val="Prrafodelista"/>
        <w:spacing w:before="120" w:after="120" w:line="360" w:lineRule="auto"/>
        <w:ind w:left="0" w:firstLine="709"/>
        <w:jc w:val="both"/>
        <w:rPr>
          <w:spacing w:val="-3"/>
        </w:rPr>
      </w:pPr>
      <w:r>
        <w:rPr>
          <w:spacing w:val="-3"/>
        </w:rPr>
        <w:t>El abogado del Estado debe formular la consulta dentro de los cinco días siguientes a la suspensión, exponiendo</w:t>
      </w:r>
      <w:r w:rsidR="002D568C" w:rsidRPr="002D568C">
        <w:rPr>
          <w:spacing w:val="-3"/>
        </w:rPr>
        <w:t xml:space="preserve"> su parecer razonado sobre el asunto, propon</w:t>
      </w:r>
      <w:r w:rsidR="0016593D">
        <w:rPr>
          <w:spacing w:val="-3"/>
        </w:rPr>
        <w:t>iendo</w:t>
      </w:r>
      <w:r w:rsidR="002D568C" w:rsidRPr="002D568C">
        <w:rPr>
          <w:spacing w:val="-3"/>
        </w:rPr>
        <w:t xml:space="preserve"> la conducta procesal a seguir e indica</w:t>
      </w:r>
      <w:r>
        <w:rPr>
          <w:spacing w:val="-3"/>
        </w:rPr>
        <w:t>ndo</w:t>
      </w:r>
      <w:r w:rsidR="002D568C" w:rsidRPr="002D568C">
        <w:rPr>
          <w:spacing w:val="-3"/>
        </w:rPr>
        <w:t xml:space="preserve"> la fecha de expiración del plazo de suspensión de las actuaciones procesales.</w:t>
      </w:r>
    </w:p>
    <w:p w14:paraId="13916C82" w14:textId="1DA47CF6" w:rsidR="00B22BF3" w:rsidRDefault="00B22BF3" w:rsidP="00656C8D">
      <w:pPr>
        <w:pStyle w:val="Prrafodelista"/>
        <w:spacing w:before="120" w:after="120" w:line="360" w:lineRule="auto"/>
        <w:ind w:left="0" w:firstLine="709"/>
        <w:jc w:val="both"/>
        <w:rPr>
          <w:spacing w:val="-3"/>
        </w:rPr>
      </w:pPr>
    </w:p>
    <w:p w14:paraId="4A5AB053" w14:textId="77777777" w:rsidR="001F29C1" w:rsidRDefault="001F29C1" w:rsidP="00656C8D">
      <w:pPr>
        <w:pStyle w:val="Prrafodelista"/>
        <w:spacing w:before="120" w:after="120" w:line="360" w:lineRule="auto"/>
        <w:ind w:left="0" w:firstLine="709"/>
        <w:jc w:val="both"/>
        <w:rPr>
          <w:spacing w:val="-3"/>
        </w:rPr>
      </w:pPr>
    </w:p>
    <w:p w14:paraId="02534166" w14:textId="255224D9" w:rsidR="00B22BF3" w:rsidRDefault="00B22BF3" w:rsidP="00656C8D">
      <w:pPr>
        <w:pStyle w:val="Prrafodelista"/>
        <w:spacing w:before="120" w:after="120" w:line="360" w:lineRule="auto"/>
        <w:ind w:left="0" w:firstLine="709"/>
        <w:jc w:val="both"/>
        <w:rPr>
          <w:spacing w:val="-3"/>
        </w:rPr>
      </w:pPr>
    </w:p>
    <w:p w14:paraId="5B5C5A9E" w14:textId="77777777" w:rsidR="001359F5" w:rsidRPr="002D568C" w:rsidRDefault="001359F5" w:rsidP="00656C8D">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50704D5A" w:rsidR="005726E8" w:rsidRPr="00FF4CC7" w:rsidRDefault="00900C15" w:rsidP="009C4B47">
      <w:pPr>
        <w:spacing w:before="120" w:after="120" w:line="360" w:lineRule="auto"/>
        <w:ind w:firstLine="708"/>
        <w:jc w:val="right"/>
        <w:rPr>
          <w:spacing w:val="-3"/>
        </w:rPr>
      </w:pPr>
      <w:r>
        <w:rPr>
          <w:spacing w:val="-3"/>
        </w:rPr>
        <w:t>1</w:t>
      </w:r>
      <w:r w:rsidR="00B7214F">
        <w:rPr>
          <w:spacing w:val="-3"/>
        </w:rPr>
        <w:t>5</w:t>
      </w:r>
      <w:r w:rsidR="00FC39A8">
        <w:rPr>
          <w:spacing w:val="-3"/>
        </w:rPr>
        <w:t xml:space="preserve"> de </w:t>
      </w:r>
      <w:r w:rsidR="00C22E78">
        <w:rPr>
          <w:spacing w:val="-3"/>
        </w:rPr>
        <w:t>mayo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6008B" w14:textId="77777777" w:rsidR="009C010E" w:rsidRDefault="009C010E" w:rsidP="00DB250B">
      <w:r>
        <w:separator/>
      </w:r>
    </w:p>
  </w:endnote>
  <w:endnote w:type="continuationSeparator" w:id="0">
    <w:p w14:paraId="6CAD603C" w14:textId="77777777" w:rsidR="009C010E" w:rsidRDefault="009C010E" w:rsidP="00DB250B">
      <w:r>
        <w:continuationSeparator/>
      </w:r>
    </w:p>
  </w:endnote>
  <w:endnote w:type="continuationNotice" w:id="1">
    <w:p w14:paraId="2A373251" w14:textId="77777777" w:rsidR="009C010E" w:rsidRDefault="009C0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F98CB" w14:textId="77777777" w:rsidR="009C010E" w:rsidRDefault="009C010E" w:rsidP="00DB250B">
      <w:r>
        <w:separator/>
      </w:r>
    </w:p>
  </w:footnote>
  <w:footnote w:type="continuationSeparator" w:id="0">
    <w:p w14:paraId="16FCDC8C" w14:textId="77777777" w:rsidR="009C010E" w:rsidRDefault="009C010E" w:rsidP="00DB250B">
      <w:r>
        <w:continuationSeparator/>
      </w:r>
    </w:p>
  </w:footnote>
  <w:footnote w:type="continuationNotice" w:id="1">
    <w:p w14:paraId="55BB5B5E" w14:textId="77777777" w:rsidR="009C010E" w:rsidRDefault="009C0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3"/>
  </w:num>
  <w:num w:numId="3">
    <w:abstractNumId w:val="1"/>
  </w:num>
  <w:num w:numId="4">
    <w:abstractNumId w:val="6"/>
  </w:num>
  <w:num w:numId="5">
    <w:abstractNumId w:val="8"/>
  </w:num>
  <w:num w:numId="6">
    <w:abstractNumId w:val="7"/>
  </w:num>
  <w:num w:numId="7">
    <w:abstractNumId w:val="2"/>
  </w:num>
  <w:num w:numId="8">
    <w:abstractNumId w:val="9"/>
  </w:num>
  <w:num w:numId="9">
    <w:abstractNumId w:val="4"/>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0E2"/>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AC1"/>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D74"/>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01A"/>
    <w:rsid w:val="00A02334"/>
    <w:rsid w:val="00A02719"/>
    <w:rsid w:val="00A02A9C"/>
    <w:rsid w:val="00A02B7F"/>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AF7D0B"/>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0F5"/>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0FF"/>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7F7"/>
    <w:rsid w:val="00E939F5"/>
    <w:rsid w:val="00E93D01"/>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7</Pages>
  <Words>2366</Words>
  <Characters>13015</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79</cp:revision>
  <dcterms:created xsi:type="dcterms:W3CDTF">2022-05-12T07:56:00Z</dcterms:created>
  <dcterms:modified xsi:type="dcterms:W3CDTF">2022-05-15T19:00:00Z</dcterms:modified>
</cp:coreProperties>
</file>