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6DCEA53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FD2370">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BF1FDF3" w:rsidR="003A564C" w:rsidRPr="00880DB9" w:rsidRDefault="00FD237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FD2370">
        <w:rPr>
          <w:b/>
          <w:bCs/>
          <w:color w:val="000000"/>
          <w:sz w:val="28"/>
          <w:szCs w:val="28"/>
        </w:rPr>
        <w:t>ANOTACIONES PREVENTIVAS DE EMBARGO, DE LEGADO, DE CRÉDITO REFACCIONARIO Y POR DEFECTOS SUBSANABLES. PARTICULARIDAD DE LAS DE SUSPENSIÓN DE MANDAMIENTOS DE EMBARGO POR DÉBITOS A LA HACIENDA. EXTINCIÓN DE LAS ANOTACIONES PREVENTIVAS. EXAMEN DE LA PRELACIÓN DE LOS CRÉDITOS ANOTADOS</w:t>
      </w:r>
      <w:r w:rsidRPr="00880DB9">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CF25BB4" w:rsidR="00C35A6D" w:rsidRPr="007B1C43" w:rsidRDefault="00FD2370" w:rsidP="00AB080F">
      <w:pPr>
        <w:spacing w:before="120" w:after="120" w:line="360" w:lineRule="auto"/>
        <w:jc w:val="both"/>
        <w:rPr>
          <w:spacing w:val="-3"/>
        </w:rPr>
      </w:pPr>
      <w:r w:rsidRPr="00FD2370">
        <w:rPr>
          <w:b/>
          <w:bCs/>
          <w:spacing w:val="-3"/>
        </w:rPr>
        <w:t>ANOTACIONES PREVENTIVAS DE EMBARGO, DE LEGADO, DE CRÉDITO REFACCIONARIO Y POR DEFECTOS SUBSANABLES</w:t>
      </w:r>
      <w:r w:rsidR="00AB080F" w:rsidRPr="00AB080F">
        <w:rPr>
          <w:b/>
          <w:bCs/>
          <w:spacing w:val="-3"/>
        </w:rPr>
        <w:t>.</w:t>
      </w:r>
    </w:p>
    <w:p w14:paraId="7548E192" w14:textId="6CEB3DEA" w:rsidR="00896C08" w:rsidRPr="00896C08" w:rsidRDefault="00FD2370" w:rsidP="003B726D">
      <w:pPr>
        <w:spacing w:before="120" w:after="120" w:line="360" w:lineRule="auto"/>
        <w:ind w:firstLine="708"/>
        <w:jc w:val="both"/>
        <w:rPr>
          <w:b/>
          <w:bCs/>
          <w:spacing w:val="-3"/>
        </w:rPr>
      </w:pPr>
      <w:r>
        <w:rPr>
          <w:b/>
          <w:bCs/>
          <w:spacing w:val="-3"/>
        </w:rPr>
        <w:t>A</w:t>
      </w:r>
      <w:r w:rsidRPr="00FD2370">
        <w:rPr>
          <w:b/>
          <w:bCs/>
          <w:spacing w:val="-3"/>
        </w:rPr>
        <w:t>notaci</w:t>
      </w:r>
      <w:r>
        <w:rPr>
          <w:b/>
          <w:bCs/>
          <w:spacing w:val="-3"/>
        </w:rPr>
        <w:t>ón</w:t>
      </w:r>
      <w:r w:rsidRPr="00FD2370">
        <w:rPr>
          <w:b/>
          <w:bCs/>
          <w:spacing w:val="-3"/>
        </w:rPr>
        <w:t xml:space="preserve"> preventiva de embargo</w:t>
      </w:r>
      <w:r w:rsidR="00896C08" w:rsidRPr="00896C08">
        <w:rPr>
          <w:b/>
          <w:bCs/>
          <w:spacing w:val="-3"/>
        </w:rPr>
        <w:t>.</w:t>
      </w:r>
    </w:p>
    <w:p w14:paraId="08103109" w14:textId="6F66439A" w:rsidR="00B4205A" w:rsidRPr="00B4205A" w:rsidRDefault="00B4205A" w:rsidP="00B4205A">
      <w:pPr>
        <w:spacing w:before="120" w:after="120" w:line="360" w:lineRule="auto"/>
        <w:ind w:firstLine="708"/>
        <w:jc w:val="both"/>
        <w:rPr>
          <w:spacing w:val="-3"/>
        </w:rPr>
      </w:pPr>
      <w:r w:rsidRPr="00B4205A">
        <w:rPr>
          <w:spacing w:val="-3"/>
        </w:rPr>
        <w:t>El art</w:t>
      </w:r>
      <w:r w:rsidR="00C93E35">
        <w:rPr>
          <w:spacing w:val="-3"/>
        </w:rPr>
        <w:t>ículo</w:t>
      </w:r>
      <w:r w:rsidRPr="00B4205A">
        <w:rPr>
          <w:spacing w:val="-3"/>
        </w:rPr>
        <w:t xml:space="preserve"> 42</w:t>
      </w:r>
      <w:r w:rsidR="00FF3DAD">
        <w:rPr>
          <w:spacing w:val="-3"/>
        </w:rPr>
        <w:t>.2</w:t>
      </w:r>
      <w:r w:rsidR="0051085A">
        <w:rPr>
          <w:spacing w:val="-3"/>
        </w:rPr>
        <w:t>ª</w:t>
      </w:r>
      <w:r w:rsidR="00FF3DAD">
        <w:rPr>
          <w:spacing w:val="-3"/>
        </w:rPr>
        <w:t xml:space="preserve"> y 3</w:t>
      </w:r>
      <w:r w:rsidR="0051085A">
        <w:rPr>
          <w:spacing w:val="-3"/>
        </w:rPr>
        <w:t>ª</w:t>
      </w:r>
      <w:r w:rsidRPr="00B4205A">
        <w:rPr>
          <w:spacing w:val="-3"/>
        </w:rPr>
        <w:t xml:space="preserve"> </w:t>
      </w:r>
      <w:r w:rsidR="00C93E35">
        <w:rPr>
          <w:spacing w:val="-3"/>
        </w:rPr>
        <w:t xml:space="preserve">de la </w:t>
      </w:r>
      <w:r w:rsidRPr="00B4205A">
        <w:rPr>
          <w:spacing w:val="-3"/>
        </w:rPr>
        <w:t>L</w:t>
      </w:r>
      <w:r w:rsidR="00C93E35">
        <w:rPr>
          <w:spacing w:val="-3"/>
        </w:rPr>
        <w:t xml:space="preserve">ey </w:t>
      </w:r>
      <w:r w:rsidRPr="00B4205A">
        <w:rPr>
          <w:spacing w:val="-3"/>
        </w:rPr>
        <w:t>H</w:t>
      </w:r>
      <w:r w:rsidR="00423A8E">
        <w:rPr>
          <w:spacing w:val="-3"/>
        </w:rPr>
        <w:t>ipotecari</w:t>
      </w:r>
      <w:r w:rsidR="00FF3DAD">
        <w:rPr>
          <w:spacing w:val="-3"/>
        </w:rPr>
        <w:t>a</w:t>
      </w:r>
      <w:r w:rsidRPr="00B4205A">
        <w:rPr>
          <w:spacing w:val="-3"/>
        </w:rPr>
        <w:t xml:space="preserve"> </w:t>
      </w:r>
      <w:r w:rsidR="00FF3DAD">
        <w:rPr>
          <w:spacing w:val="-3"/>
        </w:rPr>
        <w:t xml:space="preserve">de </w:t>
      </w:r>
      <w:r w:rsidR="000631E6">
        <w:rPr>
          <w:spacing w:val="-3"/>
        </w:rPr>
        <w:t>8 de febrero de 1946</w:t>
      </w:r>
      <w:r w:rsidR="00FF3DAD">
        <w:rPr>
          <w:spacing w:val="-3"/>
        </w:rPr>
        <w:t xml:space="preserve"> permite</w:t>
      </w:r>
      <w:r w:rsidRPr="00B4205A">
        <w:rPr>
          <w:spacing w:val="-3"/>
        </w:rPr>
        <w:t xml:space="preserve"> pedir anotación preventiva de sus respectivos derechos en el Registro correspondiente</w:t>
      </w:r>
      <w:r w:rsidR="00671AD6">
        <w:rPr>
          <w:spacing w:val="-3"/>
        </w:rPr>
        <w:t xml:space="preserve"> a:</w:t>
      </w:r>
    </w:p>
    <w:p w14:paraId="2DC4FD1F" w14:textId="77777777" w:rsidR="00671AD6" w:rsidRPr="00DE205A" w:rsidRDefault="00671AD6" w:rsidP="00671AD6">
      <w:pPr>
        <w:pStyle w:val="Prrafodelista"/>
        <w:numPr>
          <w:ilvl w:val="0"/>
          <w:numId w:val="29"/>
        </w:numPr>
        <w:spacing w:before="120" w:after="120" w:line="360" w:lineRule="auto"/>
        <w:ind w:left="993" w:hanging="284"/>
        <w:jc w:val="both"/>
        <w:rPr>
          <w:spacing w:val="-3"/>
        </w:rPr>
      </w:pPr>
      <w:r w:rsidRPr="00DE205A">
        <w:rPr>
          <w:spacing w:val="-3"/>
        </w:rPr>
        <w:t>El que obtuviere a su favor mandamiento de embargo que se haya hecho efectivo en bienes inmuebles del deudor.</w:t>
      </w:r>
    </w:p>
    <w:p w14:paraId="792F591D" w14:textId="77777777" w:rsidR="00671AD6" w:rsidRPr="00DE205A" w:rsidRDefault="00671AD6" w:rsidP="00671AD6">
      <w:pPr>
        <w:pStyle w:val="Prrafodelista"/>
        <w:numPr>
          <w:ilvl w:val="0"/>
          <w:numId w:val="29"/>
        </w:numPr>
        <w:spacing w:before="120" w:after="120" w:line="360" w:lineRule="auto"/>
        <w:ind w:left="993" w:hanging="284"/>
        <w:jc w:val="both"/>
        <w:rPr>
          <w:spacing w:val="-3"/>
        </w:rPr>
      </w:pPr>
      <w:r w:rsidRPr="00DE205A">
        <w:rPr>
          <w:spacing w:val="-3"/>
        </w:rPr>
        <w:t>El que en cualquier juicio obtuviese sentencia ejecutoria condenando al demandado, la cual deba llevarse a efecto por los trámites establecidos en la Ley de Enjuiciamiento Civil</w:t>
      </w:r>
      <w:r>
        <w:rPr>
          <w:spacing w:val="-3"/>
        </w:rPr>
        <w:t xml:space="preserve"> de 7 de enero de 2000</w:t>
      </w:r>
      <w:r w:rsidRPr="00DE205A">
        <w:rPr>
          <w:spacing w:val="-3"/>
        </w:rPr>
        <w:t>.</w:t>
      </w:r>
    </w:p>
    <w:p w14:paraId="1357AB27" w14:textId="3F19EA67" w:rsidR="007A60E3" w:rsidRPr="00274D31" w:rsidRDefault="0051085A" w:rsidP="007A60E3">
      <w:pPr>
        <w:spacing w:before="120" w:after="120" w:line="360" w:lineRule="auto"/>
        <w:ind w:firstLine="708"/>
        <w:jc w:val="both"/>
        <w:rPr>
          <w:spacing w:val="-3"/>
        </w:rPr>
      </w:pPr>
      <w:r>
        <w:rPr>
          <w:spacing w:val="-3"/>
        </w:rPr>
        <w:t>Además, el artículo</w:t>
      </w:r>
      <w:r w:rsidR="00274D31">
        <w:rPr>
          <w:spacing w:val="-3"/>
        </w:rPr>
        <w:t xml:space="preserve"> 727.1ª de la </w:t>
      </w:r>
      <w:r w:rsidR="00274D31" w:rsidRPr="00DE205A">
        <w:rPr>
          <w:spacing w:val="-3"/>
        </w:rPr>
        <w:t>Ley de Enjuiciamiento Civil</w:t>
      </w:r>
      <w:r w:rsidR="00274D31" w:rsidRPr="00274D31">
        <w:rPr>
          <w:spacing w:val="-3"/>
        </w:rPr>
        <w:t xml:space="preserve"> </w:t>
      </w:r>
      <w:r w:rsidR="00274D31">
        <w:rPr>
          <w:spacing w:val="-3"/>
        </w:rPr>
        <w:t>cita entre las medidas cautelares específicas e</w:t>
      </w:r>
      <w:r w:rsidR="00274D31" w:rsidRPr="00274D31">
        <w:rPr>
          <w:spacing w:val="-3"/>
        </w:rPr>
        <w:t>l embargo preventivo de bienes</w:t>
      </w:r>
      <w:r w:rsidR="007A60E3">
        <w:rPr>
          <w:spacing w:val="-3"/>
        </w:rPr>
        <w:t>.</w:t>
      </w:r>
    </w:p>
    <w:p w14:paraId="5B12BA3A" w14:textId="2A1073E8" w:rsidR="00B4205A" w:rsidRPr="00B4205A" w:rsidRDefault="00671AD6" w:rsidP="00B4205A">
      <w:pPr>
        <w:spacing w:before="120" w:after="120" w:line="360" w:lineRule="auto"/>
        <w:ind w:firstLine="708"/>
        <w:jc w:val="both"/>
        <w:rPr>
          <w:spacing w:val="-3"/>
        </w:rPr>
      </w:pPr>
      <w:r>
        <w:rPr>
          <w:spacing w:val="-3"/>
        </w:rPr>
        <w:t>L</w:t>
      </w:r>
      <w:r w:rsidR="00B4205A" w:rsidRPr="00B4205A">
        <w:rPr>
          <w:spacing w:val="-3"/>
        </w:rPr>
        <w:t xml:space="preserve">a finalidad de la anotación preventiva de embargo es impedir que el deudor embargado pueda eludir el embargo </w:t>
      </w:r>
      <w:r w:rsidR="005E6957">
        <w:rPr>
          <w:spacing w:val="-3"/>
        </w:rPr>
        <w:t>mediante la disposición del bien embargado</w:t>
      </w:r>
      <w:r w:rsidR="00B4205A" w:rsidRPr="00B4205A">
        <w:rPr>
          <w:spacing w:val="-3"/>
        </w:rPr>
        <w:t xml:space="preserve">, </w:t>
      </w:r>
      <w:r w:rsidR="005E6957">
        <w:rPr>
          <w:spacing w:val="-3"/>
        </w:rPr>
        <w:t>de forma</w:t>
      </w:r>
      <w:r w:rsidR="000669FC">
        <w:rPr>
          <w:spacing w:val="-3"/>
        </w:rPr>
        <w:t xml:space="preserve"> que la</w:t>
      </w:r>
      <w:r w:rsidR="005E6957">
        <w:rPr>
          <w:spacing w:val="-3"/>
        </w:rPr>
        <w:t xml:space="preserve"> anotación enerva la fe pública registral </w:t>
      </w:r>
      <w:r w:rsidR="00E61700">
        <w:rPr>
          <w:spacing w:val="-3"/>
        </w:rPr>
        <w:t>y hace la traba oponi</w:t>
      </w:r>
      <w:r w:rsidR="00844C95">
        <w:rPr>
          <w:spacing w:val="-3"/>
        </w:rPr>
        <w:t>ble</w:t>
      </w:r>
      <w:r w:rsidR="00E61700">
        <w:rPr>
          <w:spacing w:val="-3"/>
        </w:rPr>
        <w:t xml:space="preserve"> </w:t>
      </w:r>
      <w:r w:rsidR="00E61700" w:rsidRPr="00E61700">
        <w:rPr>
          <w:i/>
          <w:iCs/>
          <w:spacing w:val="-3"/>
        </w:rPr>
        <w:t>erga omnes</w:t>
      </w:r>
      <w:r w:rsidR="00E61700">
        <w:rPr>
          <w:spacing w:val="-3"/>
        </w:rPr>
        <w:t>.</w:t>
      </w:r>
    </w:p>
    <w:p w14:paraId="39C66AE6" w14:textId="2DB42BE6" w:rsidR="00B4205A" w:rsidRPr="00B4205A" w:rsidRDefault="00777DD4" w:rsidP="00B4205A">
      <w:pPr>
        <w:spacing w:before="120" w:after="120" w:line="360" w:lineRule="auto"/>
        <w:ind w:firstLine="708"/>
        <w:jc w:val="both"/>
        <w:rPr>
          <w:spacing w:val="-3"/>
        </w:rPr>
      </w:pPr>
      <w:r>
        <w:rPr>
          <w:spacing w:val="-3"/>
        </w:rPr>
        <w:lastRenderedPageBreak/>
        <w:t xml:space="preserve">La anotación preventiva </w:t>
      </w:r>
      <w:r w:rsidR="0080366F">
        <w:rPr>
          <w:spacing w:val="-3"/>
        </w:rPr>
        <w:t xml:space="preserve">de embargo </w:t>
      </w:r>
      <w:r>
        <w:rPr>
          <w:spacing w:val="-3"/>
        </w:rPr>
        <w:t xml:space="preserve">no es un asiento necesario para la ejecución de un bien </w:t>
      </w:r>
      <w:r w:rsidR="00B929A0">
        <w:rPr>
          <w:spacing w:val="-3"/>
        </w:rPr>
        <w:t xml:space="preserve">inmueble, que puede culminarse sin que su traba conste en el Registro, y por ello el artículo 629 de la </w:t>
      </w:r>
      <w:r w:rsidR="00B4205A" w:rsidRPr="00B4205A">
        <w:rPr>
          <w:spacing w:val="-3"/>
        </w:rPr>
        <w:t>Ley de Enjuiciamiento Civil</w:t>
      </w:r>
      <w:r w:rsidR="00501BAA">
        <w:rPr>
          <w:spacing w:val="-3"/>
        </w:rPr>
        <w:t xml:space="preserve"> indica que tal</w:t>
      </w:r>
      <w:r w:rsidR="00B4205A" w:rsidRPr="00B4205A">
        <w:rPr>
          <w:spacing w:val="-3"/>
        </w:rPr>
        <w:t xml:space="preserve"> dicha anotación sólo se a</w:t>
      </w:r>
      <w:r w:rsidR="00501BAA">
        <w:rPr>
          <w:spacing w:val="-3"/>
        </w:rPr>
        <w:t>cuerd</w:t>
      </w:r>
      <w:r w:rsidR="00B4205A" w:rsidRPr="00B4205A">
        <w:rPr>
          <w:spacing w:val="-3"/>
        </w:rPr>
        <w:t>a a instancia de parte.</w:t>
      </w:r>
    </w:p>
    <w:p w14:paraId="6F7D6573" w14:textId="1A2D74DB" w:rsidR="00B4205A" w:rsidRPr="00B4205A" w:rsidRDefault="0031464B" w:rsidP="00B4205A">
      <w:pPr>
        <w:spacing w:before="120" w:after="120" w:line="360" w:lineRule="auto"/>
        <w:ind w:firstLine="708"/>
        <w:jc w:val="both"/>
        <w:rPr>
          <w:spacing w:val="-3"/>
        </w:rPr>
      </w:pPr>
      <w:r>
        <w:rPr>
          <w:spacing w:val="-3"/>
        </w:rPr>
        <w:t>En cuanto a sus efectos, el artículo 71 de la Ley Hipotecaria dispone que l</w:t>
      </w:r>
      <w:r w:rsidR="00B4205A" w:rsidRPr="00B4205A">
        <w:rPr>
          <w:spacing w:val="-3"/>
        </w:rPr>
        <w:t>os bienes inmuebles o derechos reales anotados podrán ser enajenados o gravados, pero sin perjuicio del derecho de la persona a cuyo favor se haya hecho la anotación</w:t>
      </w:r>
      <w:r w:rsidR="008E39E1">
        <w:rPr>
          <w:spacing w:val="-3"/>
        </w:rPr>
        <w:t>, de forma que</w:t>
      </w:r>
      <w:r w:rsidR="00B4205A" w:rsidRPr="00B4205A">
        <w:rPr>
          <w:spacing w:val="-3"/>
        </w:rPr>
        <w:t xml:space="preserve"> los terceros adquirentes </w:t>
      </w:r>
      <w:r w:rsidR="008E39E1">
        <w:rPr>
          <w:spacing w:val="-3"/>
        </w:rPr>
        <w:t xml:space="preserve">los adquieren con </w:t>
      </w:r>
      <w:r w:rsidR="00B4205A" w:rsidRPr="00B4205A">
        <w:rPr>
          <w:spacing w:val="-3"/>
        </w:rPr>
        <w:t>la carga del embargo</w:t>
      </w:r>
      <w:r w:rsidR="008E39E1">
        <w:rPr>
          <w:spacing w:val="-3"/>
        </w:rPr>
        <w:t xml:space="preserve"> por lo que pueden perder su titularidad si culmina la ejecución por razón de la cual se practicó la anotación.</w:t>
      </w:r>
    </w:p>
    <w:p w14:paraId="6651D4D4" w14:textId="2CF6FE1F" w:rsidR="00B4205A" w:rsidRPr="00B4205A" w:rsidRDefault="001E4CC2" w:rsidP="00B4205A">
      <w:pPr>
        <w:spacing w:before="120" w:after="120" w:line="360" w:lineRule="auto"/>
        <w:ind w:firstLine="708"/>
        <w:jc w:val="both"/>
        <w:rPr>
          <w:spacing w:val="-3"/>
        </w:rPr>
      </w:pPr>
      <w:r>
        <w:rPr>
          <w:spacing w:val="-3"/>
        </w:rPr>
        <w:t>Además,</w:t>
      </w:r>
      <w:r w:rsidR="00B4205A" w:rsidRPr="00B4205A">
        <w:rPr>
          <w:spacing w:val="-3"/>
        </w:rPr>
        <w:t xml:space="preserve"> </w:t>
      </w:r>
      <w:r>
        <w:rPr>
          <w:spacing w:val="-3"/>
        </w:rPr>
        <w:t>la anotación</w:t>
      </w:r>
      <w:r w:rsidR="00212F50">
        <w:rPr>
          <w:spacing w:val="-3"/>
        </w:rPr>
        <w:t xml:space="preserve"> dota al crédito </w:t>
      </w:r>
      <w:r w:rsidR="00882EED">
        <w:rPr>
          <w:spacing w:val="-3"/>
        </w:rPr>
        <w:t>por razón del cual se practica de una especial prelación, como examinaré en el último epígrafe del tema.</w:t>
      </w:r>
    </w:p>
    <w:p w14:paraId="6C5EC83E" w14:textId="77777777" w:rsidR="00B4205A" w:rsidRPr="00B4205A" w:rsidRDefault="00B4205A" w:rsidP="00B4205A">
      <w:pPr>
        <w:spacing w:before="120" w:after="120" w:line="360" w:lineRule="auto"/>
        <w:ind w:firstLine="708"/>
        <w:jc w:val="both"/>
        <w:rPr>
          <w:spacing w:val="-3"/>
        </w:rPr>
      </w:pPr>
    </w:p>
    <w:p w14:paraId="0B34DCB3" w14:textId="50CD43FB" w:rsidR="00B4205A" w:rsidRPr="000631E6" w:rsidRDefault="00B4205A" w:rsidP="00B4205A">
      <w:pPr>
        <w:spacing w:before="120" w:after="120" w:line="360" w:lineRule="auto"/>
        <w:ind w:firstLine="708"/>
        <w:jc w:val="both"/>
        <w:rPr>
          <w:b/>
          <w:bCs/>
          <w:spacing w:val="-3"/>
        </w:rPr>
      </w:pPr>
      <w:r w:rsidRPr="000631E6">
        <w:rPr>
          <w:b/>
          <w:bCs/>
          <w:spacing w:val="-3"/>
        </w:rPr>
        <w:t>Anotaci</w:t>
      </w:r>
      <w:r w:rsidR="000631E6" w:rsidRPr="000631E6">
        <w:rPr>
          <w:b/>
          <w:bCs/>
          <w:spacing w:val="-3"/>
        </w:rPr>
        <w:t>ón</w:t>
      </w:r>
      <w:r w:rsidRPr="000631E6">
        <w:rPr>
          <w:b/>
          <w:bCs/>
          <w:spacing w:val="-3"/>
        </w:rPr>
        <w:t xml:space="preserve"> preventiva de legado.</w:t>
      </w:r>
    </w:p>
    <w:p w14:paraId="06038158" w14:textId="5A268074" w:rsidR="00B4205A" w:rsidRPr="00B4205A" w:rsidRDefault="000631E6" w:rsidP="00B4205A">
      <w:pPr>
        <w:spacing w:before="120" w:after="120" w:line="360" w:lineRule="auto"/>
        <w:ind w:firstLine="708"/>
        <w:jc w:val="both"/>
        <w:rPr>
          <w:spacing w:val="-3"/>
        </w:rPr>
      </w:pPr>
      <w:r w:rsidRPr="00B4205A">
        <w:rPr>
          <w:spacing w:val="-3"/>
        </w:rPr>
        <w:t>El art</w:t>
      </w:r>
      <w:r>
        <w:rPr>
          <w:spacing w:val="-3"/>
        </w:rPr>
        <w:t>ículo</w:t>
      </w:r>
      <w:r w:rsidRPr="00B4205A">
        <w:rPr>
          <w:spacing w:val="-3"/>
        </w:rPr>
        <w:t xml:space="preserve"> 42</w:t>
      </w:r>
      <w:r>
        <w:rPr>
          <w:spacing w:val="-3"/>
        </w:rPr>
        <w:t xml:space="preserve">.7ª de la </w:t>
      </w:r>
      <w:r w:rsidRPr="00B4205A">
        <w:rPr>
          <w:spacing w:val="-3"/>
        </w:rPr>
        <w:t>L</w:t>
      </w:r>
      <w:r>
        <w:rPr>
          <w:spacing w:val="-3"/>
        </w:rPr>
        <w:t xml:space="preserve">ey </w:t>
      </w:r>
      <w:r w:rsidRPr="00B4205A">
        <w:rPr>
          <w:spacing w:val="-3"/>
        </w:rPr>
        <w:t>H</w:t>
      </w:r>
      <w:r>
        <w:rPr>
          <w:spacing w:val="-3"/>
        </w:rPr>
        <w:t>ipotecaria</w:t>
      </w:r>
      <w:r w:rsidRPr="00B4205A">
        <w:rPr>
          <w:spacing w:val="-3"/>
        </w:rPr>
        <w:t xml:space="preserve"> </w:t>
      </w:r>
      <w:r>
        <w:rPr>
          <w:spacing w:val="-3"/>
        </w:rPr>
        <w:t>permite</w:t>
      </w:r>
      <w:r w:rsidRPr="00B4205A">
        <w:rPr>
          <w:spacing w:val="-3"/>
        </w:rPr>
        <w:t xml:space="preserve"> pedir anotación preventiva </w:t>
      </w:r>
      <w:r>
        <w:rPr>
          <w:spacing w:val="-3"/>
        </w:rPr>
        <w:t>de su derecho a</w:t>
      </w:r>
      <w:r w:rsidR="00B4205A" w:rsidRPr="00B4205A">
        <w:rPr>
          <w:spacing w:val="-3"/>
        </w:rPr>
        <w:t>l legatario que no tenga derecho según las leyes a promover el juicio de testamentaría</w:t>
      </w:r>
      <w:r w:rsidR="00E7247A">
        <w:rPr>
          <w:spacing w:val="-3"/>
        </w:rPr>
        <w:t xml:space="preserve">, es decir, </w:t>
      </w:r>
      <w:r w:rsidR="00AF31A6">
        <w:rPr>
          <w:spacing w:val="-3"/>
        </w:rPr>
        <w:t xml:space="preserve">conforme al artículo 782 de la Ley de Enjuiciamiento Civil </w:t>
      </w:r>
      <w:r w:rsidR="00AF31A6" w:rsidRPr="00AF31A6">
        <w:rPr>
          <w:i/>
          <w:iCs/>
          <w:spacing w:val="-3"/>
        </w:rPr>
        <w:t>a contrario sensu</w:t>
      </w:r>
      <w:r w:rsidR="00AF31A6">
        <w:rPr>
          <w:spacing w:val="-3"/>
        </w:rPr>
        <w:t xml:space="preserve">, </w:t>
      </w:r>
      <w:r w:rsidR="00E7247A">
        <w:rPr>
          <w:spacing w:val="-3"/>
        </w:rPr>
        <w:t>a</w:t>
      </w:r>
      <w:r w:rsidR="0018708F">
        <w:rPr>
          <w:spacing w:val="-3"/>
        </w:rPr>
        <w:t xml:space="preserve"> todos los</w:t>
      </w:r>
      <w:r w:rsidR="00E7247A">
        <w:rPr>
          <w:spacing w:val="-3"/>
        </w:rPr>
        <w:t xml:space="preserve"> </w:t>
      </w:r>
      <w:r w:rsidR="00AF31A6">
        <w:rPr>
          <w:spacing w:val="-3"/>
        </w:rPr>
        <w:t>legatario</w:t>
      </w:r>
      <w:r w:rsidR="0018708F">
        <w:rPr>
          <w:spacing w:val="-3"/>
        </w:rPr>
        <w:t>s</w:t>
      </w:r>
      <w:r w:rsidR="00AF31A6">
        <w:rPr>
          <w:spacing w:val="-3"/>
        </w:rPr>
        <w:t xml:space="preserve"> </w:t>
      </w:r>
      <w:r w:rsidR="0018708F">
        <w:rPr>
          <w:spacing w:val="-3"/>
        </w:rPr>
        <w:t>excepto el</w:t>
      </w:r>
      <w:r w:rsidR="00E7247A">
        <w:rPr>
          <w:spacing w:val="-3"/>
        </w:rPr>
        <w:t xml:space="preserve"> de parte alícuota</w:t>
      </w:r>
      <w:r w:rsidR="00B4205A" w:rsidRPr="00B4205A">
        <w:rPr>
          <w:spacing w:val="-3"/>
        </w:rPr>
        <w:t>.</w:t>
      </w:r>
    </w:p>
    <w:p w14:paraId="0A6971E9" w14:textId="31AC4F76" w:rsidR="00B4205A" w:rsidRPr="00B4205A" w:rsidRDefault="00B4205A" w:rsidP="00B4205A">
      <w:pPr>
        <w:spacing w:before="120" w:after="120" w:line="360" w:lineRule="auto"/>
        <w:ind w:firstLine="708"/>
        <w:jc w:val="both"/>
        <w:rPr>
          <w:spacing w:val="-3"/>
        </w:rPr>
      </w:pPr>
      <w:r w:rsidRPr="00B4205A">
        <w:rPr>
          <w:spacing w:val="-3"/>
        </w:rPr>
        <w:t xml:space="preserve">La finalidad </w:t>
      </w:r>
      <w:r w:rsidR="00A940F0">
        <w:rPr>
          <w:spacing w:val="-3"/>
        </w:rPr>
        <w:t xml:space="preserve">de esta </w:t>
      </w:r>
      <w:r w:rsidRPr="00B4205A">
        <w:rPr>
          <w:spacing w:val="-3"/>
        </w:rPr>
        <w:t>anotación es la de evitar que el heredero enajene los bienes hereditarios o los someta a la ejecución de sus propios acreedores</w:t>
      </w:r>
      <w:r w:rsidR="006D7038">
        <w:rPr>
          <w:spacing w:val="-3"/>
        </w:rPr>
        <w:t xml:space="preserve"> en perjuicio del legatario</w:t>
      </w:r>
      <w:r w:rsidRPr="00B4205A">
        <w:rPr>
          <w:spacing w:val="-3"/>
        </w:rPr>
        <w:t>.</w:t>
      </w:r>
    </w:p>
    <w:p w14:paraId="602E1FC3" w14:textId="00D3419E" w:rsidR="00B4205A" w:rsidRPr="00B4205A" w:rsidRDefault="006D7038" w:rsidP="00B4205A">
      <w:pPr>
        <w:spacing w:before="120" w:after="120" w:line="360" w:lineRule="auto"/>
        <w:ind w:firstLine="708"/>
        <w:jc w:val="both"/>
        <w:rPr>
          <w:spacing w:val="-3"/>
        </w:rPr>
      </w:pPr>
      <w:r>
        <w:rPr>
          <w:spacing w:val="-3"/>
        </w:rPr>
        <w:t>No obstante</w:t>
      </w:r>
      <w:r w:rsidR="00B4205A" w:rsidRPr="00B4205A">
        <w:rPr>
          <w:spacing w:val="-3"/>
        </w:rPr>
        <w:t>, resulta necesario distinguir las siguientes clases de legados:</w:t>
      </w:r>
    </w:p>
    <w:p w14:paraId="6B14FBCB" w14:textId="6BDB7F9F" w:rsidR="00B4205A" w:rsidRPr="00F438F4" w:rsidRDefault="00B4205A" w:rsidP="00F438F4">
      <w:pPr>
        <w:pStyle w:val="Prrafodelista"/>
        <w:numPr>
          <w:ilvl w:val="0"/>
          <w:numId w:val="31"/>
        </w:numPr>
        <w:spacing w:before="120" w:after="120" w:line="360" w:lineRule="auto"/>
        <w:ind w:left="993" w:hanging="284"/>
        <w:jc w:val="both"/>
        <w:rPr>
          <w:spacing w:val="-3"/>
        </w:rPr>
      </w:pPr>
      <w:r w:rsidRPr="00F438F4">
        <w:rPr>
          <w:spacing w:val="-3"/>
        </w:rPr>
        <w:t>Legados de bienes inmuebles determinados o de créditos o pensiones consignados sobre un bien inmueble</w:t>
      </w:r>
      <w:r w:rsidR="008D0D6D" w:rsidRPr="00F438F4">
        <w:rPr>
          <w:spacing w:val="-3"/>
        </w:rPr>
        <w:t>, en los que conforme al artículo 47 de la Ley Hipotecaria e</w:t>
      </w:r>
      <w:r w:rsidRPr="00F438F4">
        <w:rPr>
          <w:spacing w:val="-3"/>
        </w:rPr>
        <w:t>l legatario podrá pedir en cualquier tiempo anotación preventiva de su derecho</w:t>
      </w:r>
      <w:r w:rsidR="008D0D6D" w:rsidRPr="00F438F4">
        <w:rPr>
          <w:spacing w:val="-3"/>
        </w:rPr>
        <w:t xml:space="preserve">, la cual se </w:t>
      </w:r>
      <w:r w:rsidRPr="00F438F4">
        <w:rPr>
          <w:spacing w:val="-3"/>
        </w:rPr>
        <w:t>practicar</w:t>
      </w:r>
      <w:r w:rsidR="008D0D6D" w:rsidRPr="00F438F4">
        <w:rPr>
          <w:spacing w:val="-3"/>
        </w:rPr>
        <w:t>á tan sólo</w:t>
      </w:r>
      <w:r w:rsidRPr="00F438F4">
        <w:rPr>
          <w:spacing w:val="-3"/>
        </w:rPr>
        <w:t xml:space="preserve"> sobre los mismos bienes objeto del legado.</w:t>
      </w:r>
    </w:p>
    <w:p w14:paraId="3F6ADBAF" w14:textId="0DA56529" w:rsidR="00B4205A" w:rsidRPr="00F438F4" w:rsidRDefault="00B4205A" w:rsidP="00F438F4">
      <w:pPr>
        <w:pStyle w:val="Prrafodelista"/>
        <w:numPr>
          <w:ilvl w:val="0"/>
          <w:numId w:val="31"/>
        </w:numPr>
        <w:spacing w:before="120" w:after="120" w:line="360" w:lineRule="auto"/>
        <w:ind w:left="993" w:hanging="284"/>
        <w:jc w:val="both"/>
        <w:rPr>
          <w:spacing w:val="-3"/>
        </w:rPr>
      </w:pPr>
      <w:r w:rsidRPr="00F438F4">
        <w:rPr>
          <w:spacing w:val="-3"/>
        </w:rPr>
        <w:t>Legados de género o de cantidad</w:t>
      </w:r>
      <w:r w:rsidR="00E0319C" w:rsidRPr="00F438F4">
        <w:rPr>
          <w:spacing w:val="-3"/>
        </w:rPr>
        <w:t>, en los que conforme al artículo 48 de la Ley Hipotecaria el legatario</w:t>
      </w:r>
      <w:r w:rsidRPr="00F438F4">
        <w:rPr>
          <w:spacing w:val="-3"/>
        </w:rPr>
        <w:t xml:space="preserve"> podrá pedir dentro de los </w:t>
      </w:r>
      <w:r w:rsidR="00E0319C" w:rsidRPr="00F438F4">
        <w:rPr>
          <w:spacing w:val="-3"/>
        </w:rPr>
        <w:t>ciento ochenta</w:t>
      </w:r>
      <w:r w:rsidRPr="00F438F4">
        <w:rPr>
          <w:spacing w:val="-3"/>
        </w:rPr>
        <w:t xml:space="preserve"> días siguientes a la muerte del testador</w:t>
      </w:r>
      <w:r w:rsidR="00A34C3F" w:rsidRPr="00F438F4">
        <w:rPr>
          <w:spacing w:val="-3"/>
        </w:rPr>
        <w:t xml:space="preserve"> la anotación preventiva de su valor</w:t>
      </w:r>
      <w:r w:rsidRPr="00F438F4">
        <w:rPr>
          <w:spacing w:val="-3"/>
        </w:rPr>
        <w:t xml:space="preserve">, </w:t>
      </w:r>
      <w:r w:rsidR="00A34C3F" w:rsidRPr="00F438F4">
        <w:rPr>
          <w:spacing w:val="-3"/>
        </w:rPr>
        <w:t xml:space="preserve">la cual se practicará sobre </w:t>
      </w:r>
      <w:r w:rsidRPr="00F438F4">
        <w:rPr>
          <w:spacing w:val="-3"/>
        </w:rPr>
        <w:t>cualesquiera bienes inmuebles de la herencia bastantes para cubrirlo, siempre que no hubieren sido legados especialmente a otr</w:t>
      </w:r>
      <w:r w:rsidR="00C97A74" w:rsidRPr="00F438F4">
        <w:rPr>
          <w:spacing w:val="-3"/>
        </w:rPr>
        <w:t>as personas</w:t>
      </w:r>
      <w:r w:rsidRPr="00F438F4">
        <w:rPr>
          <w:spacing w:val="-3"/>
        </w:rPr>
        <w:t>.</w:t>
      </w:r>
    </w:p>
    <w:p w14:paraId="017AA27E" w14:textId="77777777" w:rsidR="00B4205A" w:rsidRPr="00B4205A" w:rsidRDefault="00B4205A" w:rsidP="00F438F4">
      <w:pPr>
        <w:pStyle w:val="Prrafodelista"/>
        <w:spacing w:before="120" w:after="120" w:line="360" w:lineRule="auto"/>
        <w:ind w:left="993" w:firstLine="283"/>
        <w:jc w:val="both"/>
        <w:rPr>
          <w:spacing w:val="-3"/>
        </w:rPr>
      </w:pPr>
      <w:r w:rsidRPr="00B4205A">
        <w:rPr>
          <w:spacing w:val="-3"/>
        </w:rPr>
        <w:lastRenderedPageBreak/>
        <w:t>No será obstáculo para la anotación preventiva que otro legatario de género o cantidad haya obtenido otra anotación a su favor sobre los mismos bienes.</w:t>
      </w:r>
    </w:p>
    <w:p w14:paraId="3662BDFE" w14:textId="52891038" w:rsidR="00B4205A" w:rsidRPr="00B4205A" w:rsidRDefault="00FD75BC" w:rsidP="00B4205A">
      <w:pPr>
        <w:spacing w:before="120" w:after="120" w:line="360" w:lineRule="auto"/>
        <w:ind w:firstLine="708"/>
        <w:jc w:val="both"/>
        <w:rPr>
          <w:spacing w:val="-3"/>
        </w:rPr>
      </w:pPr>
      <w:r>
        <w:rPr>
          <w:spacing w:val="-3"/>
        </w:rPr>
        <w:t xml:space="preserve">En cuanto a sus efectos, </w:t>
      </w:r>
      <w:r w:rsidR="00724DD2">
        <w:rPr>
          <w:spacing w:val="-3"/>
        </w:rPr>
        <w:t xml:space="preserve">los artículos 50 a 53 de la Ley Hipotecaria establecen </w:t>
      </w:r>
      <w:r>
        <w:rPr>
          <w:spacing w:val="-3"/>
        </w:rPr>
        <w:t>las siguientes reglas:</w:t>
      </w:r>
    </w:p>
    <w:p w14:paraId="084A73A1" w14:textId="2D9320F7" w:rsidR="00DA0BD9" w:rsidRDefault="00724DD2" w:rsidP="002D0BEF">
      <w:pPr>
        <w:pStyle w:val="Prrafodelista"/>
        <w:numPr>
          <w:ilvl w:val="0"/>
          <w:numId w:val="32"/>
        </w:numPr>
        <w:spacing w:before="120" w:after="120" w:line="360" w:lineRule="auto"/>
        <w:ind w:left="993" w:hanging="284"/>
        <w:jc w:val="both"/>
        <w:rPr>
          <w:spacing w:val="-3"/>
        </w:rPr>
      </w:pPr>
      <w:r w:rsidRPr="002D0BEF">
        <w:rPr>
          <w:spacing w:val="-3"/>
        </w:rPr>
        <w:t>E</w:t>
      </w:r>
      <w:r w:rsidR="00A4229D" w:rsidRPr="002D0BEF">
        <w:rPr>
          <w:spacing w:val="-3"/>
        </w:rPr>
        <w:t xml:space="preserve">l legatario que obtuviere anotación preventiva </w:t>
      </w:r>
      <w:r w:rsidR="00DA0BD9" w:rsidRPr="002D0BEF">
        <w:rPr>
          <w:spacing w:val="-3"/>
        </w:rPr>
        <w:t>dentro de los ciento ochenta días siguientes a la muerte del testador</w:t>
      </w:r>
      <w:r w:rsidR="001E4C36">
        <w:rPr>
          <w:spacing w:val="-3"/>
        </w:rPr>
        <w:t xml:space="preserve"> tendrá preferencia</w:t>
      </w:r>
      <w:r w:rsidR="00154E1F">
        <w:rPr>
          <w:spacing w:val="-3"/>
        </w:rPr>
        <w:t xml:space="preserve"> </w:t>
      </w:r>
      <w:r w:rsidR="00154E1F" w:rsidRPr="002D0BEF">
        <w:rPr>
          <w:spacing w:val="-3"/>
        </w:rPr>
        <w:t>en cuanto al importe de los bienes anotados</w:t>
      </w:r>
      <w:r w:rsidR="00154E1F">
        <w:rPr>
          <w:spacing w:val="-3"/>
        </w:rPr>
        <w:t>:</w:t>
      </w:r>
    </w:p>
    <w:p w14:paraId="3C467CBF" w14:textId="091EB4DC" w:rsidR="00DA0BD9" w:rsidRDefault="00DA0BD9" w:rsidP="00C10104">
      <w:pPr>
        <w:pStyle w:val="Prrafodelista"/>
        <w:numPr>
          <w:ilvl w:val="0"/>
          <w:numId w:val="35"/>
        </w:numPr>
        <w:spacing w:before="120" w:after="120" w:line="360" w:lineRule="auto"/>
        <w:ind w:left="1276" w:hanging="283"/>
        <w:jc w:val="both"/>
        <w:rPr>
          <w:spacing w:val="-3"/>
        </w:rPr>
      </w:pPr>
      <w:r>
        <w:rPr>
          <w:spacing w:val="-3"/>
        </w:rPr>
        <w:t>A</w:t>
      </w:r>
      <w:r w:rsidR="00A4229D" w:rsidRPr="002D0BEF">
        <w:rPr>
          <w:spacing w:val="-3"/>
        </w:rPr>
        <w:t xml:space="preserve"> los acreedores del heredero que haya aceptado la herencia sin beneficio de inventario</w:t>
      </w:r>
      <w:r>
        <w:rPr>
          <w:spacing w:val="-3"/>
        </w:rPr>
        <w:t>.</w:t>
      </w:r>
    </w:p>
    <w:p w14:paraId="67EA7793" w14:textId="452BE4F6" w:rsidR="00A4229D" w:rsidRDefault="00DA0BD9" w:rsidP="00C10104">
      <w:pPr>
        <w:pStyle w:val="Prrafodelista"/>
        <w:numPr>
          <w:ilvl w:val="0"/>
          <w:numId w:val="35"/>
        </w:numPr>
        <w:spacing w:before="120" w:after="120" w:line="360" w:lineRule="auto"/>
        <w:ind w:left="1276" w:hanging="283"/>
        <w:jc w:val="both"/>
        <w:rPr>
          <w:spacing w:val="-3"/>
        </w:rPr>
      </w:pPr>
      <w:r>
        <w:rPr>
          <w:spacing w:val="-3"/>
        </w:rPr>
        <w:t>A</w:t>
      </w:r>
      <w:r w:rsidR="009E40E8">
        <w:rPr>
          <w:spacing w:val="-3"/>
        </w:rPr>
        <w:t xml:space="preserve"> los adquirentes de derechos sobre los bienes anotados posteriores a la anotación</w:t>
      </w:r>
      <w:r w:rsidR="00A4229D" w:rsidRPr="002D0BEF">
        <w:rPr>
          <w:spacing w:val="-3"/>
        </w:rPr>
        <w:t>.</w:t>
      </w:r>
    </w:p>
    <w:p w14:paraId="54CC858A" w14:textId="77777777" w:rsidR="00C10104" w:rsidRDefault="00C10104" w:rsidP="00C10104">
      <w:pPr>
        <w:pStyle w:val="Prrafodelista"/>
        <w:numPr>
          <w:ilvl w:val="0"/>
          <w:numId w:val="35"/>
        </w:numPr>
        <w:spacing w:before="120" w:after="120" w:line="360" w:lineRule="auto"/>
        <w:ind w:left="1276" w:hanging="283"/>
        <w:jc w:val="both"/>
        <w:rPr>
          <w:spacing w:val="-3"/>
        </w:rPr>
      </w:pPr>
      <w:r>
        <w:rPr>
          <w:spacing w:val="-3"/>
        </w:rPr>
        <w:t xml:space="preserve">A los legatarios que no </w:t>
      </w:r>
      <w:r w:rsidRPr="002D0BEF">
        <w:rPr>
          <w:spacing w:val="-3"/>
        </w:rPr>
        <w:t>hayan hecho uso de su derecho dentro de los ciento ochenta días siguientes a la muerte del testador</w:t>
      </w:r>
      <w:r>
        <w:rPr>
          <w:spacing w:val="-3"/>
        </w:rPr>
        <w:t>.</w:t>
      </w:r>
    </w:p>
    <w:p w14:paraId="108AC218" w14:textId="526F3FD1" w:rsidR="008970E0" w:rsidRPr="002D0BEF" w:rsidRDefault="00C10104" w:rsidP="002D0BEF">
      <w:pPr>
        <w:pStyle w:val="Prrafodelista"/>
        <w:numPr>
          <w:ilvl w:val="0"/>
          <w:numId w:val="32"/>
        </w:numPr>
        <w:spacing w:before="120" w:after="120" w:line="360" w:lineRule="auto"/>
        <w:ind w:left="993" w:hanging="284"/>
        <w:jc w:val="both"/>
        <w:rPr>
          <w:spacing w:val="-3"/>
        </w:rPr>
      </w:pPr>
      <w:r>
        <w:rPr>
          <w:spacing w:val="-3"/>
        </w:rPr>
        <w:t>L</w:t>
      </w:r>
      <w:r w:rsidR="008970E0" w:rsidRPr="002D0BEF">
        <w:rPr>
          <w:spacing w:val="-3"/>
        </w:rPr>
        <w:t>os legatarios que hayan hecho uso de su derecho dentro de los ciento ochenta días</w:t>
      </w:r>
      <w:r w:rsidR="00625C5C" w:rsidRPr="002D0BEF">
        <w:rPr>
          <w:spacing w:val="-3"/>
        </w:rPr>
        <w:t xml:space="preserve"> siguientes a la muerte del testador</w:t>
      </w:r>
      <w:r w:rsidR="008970E0" w:rsidRPr="002D0BEF">
        <w:rPr>
          <w:spacing w:val="-3"/>
        </w:rPr>
        <w:t xml:space="preserve"> no tendrán preferencia entre sí</w:t>
      </w:r>
      <w:r w:rsidR="00C80324" w:rsidRPr="002D0BEF">
        <w:rPr>
          <w:spacing w:val="-3"/>
        </w:rPr>
        <w:t>, sin perjuicio de la que corresponda al legatario de especie, respecto de los demás, con arreglo a la legislación civil.</w:t>
      </w:r>
    </w:p>
    <w:p w14:paraId="09A9EBDE" w14:textId="179BC699" w:rsidR="000062A2" w:rsidRDefault="00625C5C" w:rsidP="002D0BEF">
      <w:pPr>
        <w:pStyle w:val="Prrafodelista"/>
        <w:numPr>
          <w:ilvl w:val="0"/>
          <w:numId w:val="32"/>
        </w:numPr>
        <w:spacing w:before="120" w:after="120" w:line="360" w:lineRule="auto"/>
        <w:ind w:left="993" w:hanging="284"/>
        <w:jc w:val="both"/>
      </w:pPr>
      <w:r w:rsidRPr="002D0BEF">
        <w:rPr>
          <w:spacing w:val="-3"/>
        </w:rPr>
        <w:t>E</w:t>
      </w:r>
      <w:r w:rsidR="00F44691" w:rsidRPr="002D0BEF">
        <w:rPr>
          <w:spacing w:val="-3"/>
        </w:rPr>
        <w:t xml:space="preserve">l legatario que no lo fuere de especie y dejare transcurrir el plazo de ciento ochenta días sin </w:t>
      </w:r>
      <w:r w:rsidR="00483A0F" w:rsidRPr="002D0BEF">
        <w:rPr>
          <w:spacing w:val="-3"/>
        </w:rPr>
        <w:t>pedir la anotación</w:t>
      </w:r>
      <w:r w:rsidR="00F44691" w:rsidRPr="002D0BEF">
        <w:rPr>
          <w:spacing w:val="-3"/>
        </w:rPr>
        <w:t>, sólo podrá exigir</w:t>
      </w:r>
      <w:r w:rsidR="00483A0F" w:rsidRPr="002D0BEF">
        <w:rPr>
          <w:spacing w:val="-3"/>
        </w:rPr>
        <w:t>la</w:t>
      </w:r>
      <w:r w:rsidR="00F44691" w:rsidRPr="002D0BEF">
        <w:rPr>
          <w:spacing w:val="-3"/>
        </w:rPr>
        <w:t xml:space="preserve"> después sobre los bienes de la herencia que subsistan en poder del heredero.</w:t>
      </w:r>
    </w:p>
    <w:p w14:paraId="202A6BD4" w14:textId="77777777" w:rsidR="00B4205A" w:rsidRPr="00B4205A" w:rsidRDefault="00B4205A" w:rsidP="00B4205A">
      <w:pPr>
        <w:spacing w:before="120" w:after="120" w:line="360" w:lineRule="auto"/>
        <w:ind w:firstLine="708"/>
        <w:jc w:val="both"/>
        <w:rPr>
          <w:spacing w:val="-3"/>
        </w:rPr>
      </w:pPr>
    </w:p>
    <w:p w14:paraId="16777850" w14:textId="3DC07AB1" w:rsidR="00B4205A" w:rsidRPr="002D0BEF" w:rsidRDefault="00B4205A" w:rsidP="00B4205A">
      <w:pPr>
        <w:spacing w:before="120" w:after="120" w:line="360" w:lineRule="auto"/>
        <w:ind w:firstLine="708"/>
        <w:jc w:val="both"/>
        <w:rPr>
          <w:b/>
          <w:bCs/>
          <w:spacing w:val="-3"/>
        </w:rPr>
      </w:pPr>
      <w:r w:rsidRPr="002D0BEF">
        <w:rPr>
          <w:b/>
          <w:bCs/>
          <w:spacing w:val="-3"/>
        </w:rPr>
        <w:t>Anotaci</w:t>
      </w:r>
      <w:r w:rsidR="002D0BEF" w:rsidRPr="002D0BEF">
        <w:rPr>
          <w:b/>
          <w:bCs/>
          <w:spacing w:val="-3"/>
        </w:rPr>
        <w:t>ón</w:t>
      </w:r>
      <w:r w:rsidRPr="002D0BEF">
        <w:rPr>
          <w:b/>
          <w:bCs/>
          <w:spacing w:val="-3"/>
        </w:rPr>
        <w:t xml:space="preserve"> preventiva de crédito refaccionario.</w:t>
      </w:r>
    </w:p>
    <w:p w14:paraId="004F55CE" w14:textId="22EAA29A" w:rsidR="00B4205A" w:rsidRPr="00B4205A" w:rsidRDefault="002D0BEF" w:rsidP="00B4205A">
      <w:pPr>
        <w:spacing w:before="120" w:after="120" w:line="360" w:lineRule="auto"/>
        <w:ind w:firstLine="708"/>
        <w:jc w:val="both"/>
        <w:rPr>
          <w:spacing w:val="-3"/>
        </w:rPr>
      </w:pPr>
      <w:r w:rsidRPr="00B4205A">
        <w:rPr>
          <w:spacing w:val="-3"/>
        </w:rPr>
        <w:t>El art</w:t>
      </w:r>
      <w:r>
        <w:rPr>
          <w:spacing w:val="-3"/>
        </w:rPr>
        <w:t>ículo</w:t>
      </w:r>
      <w:r w:rsidRPr="00B4205A">
        <w:rPr>
          <w:spacing w:val="-3"/>
        </w:rPr>
        <w:t xml:space="preserve"> 42</w:t>
      </w:r>
      <w:r>
        <w:rPr>
          <w:spacing w:val="-3"/>
        </w:rPr>
        <w:t xml:space="preserve">.8ª de la </w:t>
      </w:r>
      <w:r w:rsidRPr="00B4205A">
        <w:rPr>
          <w:spacing w:val="-3"/>
        </w:rPr>
        <w:t>L</w:t>
      </w:r>
      <w:r>
        <w:rPr>
          <w:spacing w:val="-3"/>
        </w:rPr>
        <w:t xml:space="preserve">ey </w:t>
      </w:r>
      <w:r w:rsidRPr="00B4205A">
        <w:rPr>
          <w:spacing w:val="-3"/>
        </w:rPr>
        <w:t>H</w:t>
      </w:r>
      <w:r>
        <w:rPr>
          <w:spacing w:val="-3"/>
        </w:rPr>
        <w:t>ipotecaria</w:t>
      </w:r>
      <w:r w:rsidRPr="00B4205A">
        <w:rPr>
          <w:spacing w:val="-3"/>
        </w:rPr>
        <w:t xml:space="preserve"> </w:t>
      </w:r>
      <w:r>
        <w:rPr>
          <w:spacing w:val="-3"/>
        </w:rPr>
        <w:t>permite</w:t>
      </w:r>
      <w:r w:rsidRPr="00B4205A">
        <w:rPr>
          <w:spacing w:val="-3"/>
        </w:rPr>
        <w:t xml:space="preserve"> pedir anotación preventiva </w:t>
      </w:r>
      <w:r>
        <w:rPr>
          <w:spacing w:val="-3"/>
        </w:rPr>
        <w:t>de su derecho a</w:t>
      </w:r>
      <w:r w:rsidRPr="00B4205A">
        <w:rPr>
          <w:spacing w:val="-3"/>
        </w:rPr>
        <w:t xml:space="preserve">l </w:t>
      </w:r>
      <w:r w:rsidR="00B4205A" w:rsidRPr="00B4205A">
        <w:rPr>
          <w:spacing w:val="-3"/>
        </w:rPr>
        <w:t>acreedor refaccionario mientras duran las obras objeto de la refracción</w:t>
      </w:r>
      <w:r w:rsidR="002B3F6E">
        <w:rPr>
          <w:spacing w:val="-3"/>
        </w:rPr>
        <w:t>.</w:t>
      </w:r>
    </w:p>
    <w:p w14:paraId="51E6F892" w14:textId="7DE1A74F" w:rsidR="00B4205A" w:rsidRPr="00B4205A" w:rsidRDefault="007C27DE" w:rsidP="00B4205A">
      <w:pPr>
        <w:spacing w:before="120" w:after="120" w:line="360" w:lineRule="auto"/>
        <w:ind w:firstLine="708"/>
        <w:jc w:val="both"/>
        <w:rPr>
          <w:spacing w:val="-3"/>
        </w:rPr>
      </w:pPr>
      <w:r>
        <w:rPr>
          <w:spacing w:val="-3"/>
        </w:rPr>
        <w:t>El c</w:t>
      </w:r>
      <w:r w:rsidR="00B4205A" w:rsidRPr="00B4205A">
        <w:rPr>
          <w:spacing w:val="-3"/>
        </w:rPr>
        <w:t xml:space="preserve">rédito refaccionario es </w:t>
      </w:r>
      <w:r>
        <w:rPr>
          <w:spacing w:val="-3"/>
        </w:rPr>
        <w:t xml:space="preserve">el destinado a </w:t>
      </w:r>
      <w:r w:rsidR="00B4205A" w:rsidRPr="00B4205A">
        <w:rPr>
          <w:spacing w:val="-3"/>
        </w:rPr>
        <w:t>la construcción o reparación de una cosa y la anotación preventiva cumple, en este caso, la finalidad de afectar al inmueble a la devolución de la cantidad prestada.</w:t>
      </w:r>
    </w:p>
    <w:p w14:paraId="7B572235" w14:textId="4537547D" w:rsidR="00B4205A" w:rsidRDefault="00664C1C" w:rsidP="00B4205A">
      <w:pPr>
        <w:spacing w:before="120" w:after="120" w:line="360" w:lineRule="auto"/>
        <w:ind w:firstLine="708"/>
        <w:jc w:val="both"/>
        <w:rPr>
          <w:spacing w:val="-3"/>
        </w:rPr>
      </w:pPr>
      <w:r>
        <w:rPr>
          <w:spacing w:val="-3"/>
        </w:rPr>
        <w:t>En cuanto a sus efectos, c</w:t>
      </w:r>
      <w:r w:rsidR="00B4205A" w:rsidRPr="00B4205A">
        <w:rPr>
          <w:spacing w:val="-3"/>
        </w:rPr>
        <w:t>onforme al art</w:t>
      </w:r>
      <w:r>
        <w:rPr>
          <w:spacing w:val="-3"/>
        </w:rPr>
        <w:t>ículo</w:t>
      </w:r>
      <w:r w:rsidR="00B4205A" w:rsidRPr="00B4205A">
        <w:rPr>
          <w:spacing w:val="-3"/>
        </w:rPr>
        <w:t xml:space="preserve"> 59 </w:t>
      </w:r>
      <w:r>
        <w:rPr>
          <w:spacing w:val="-3"/>
        </w:rPr>
        <w:t>de la Ley Hipotecaria</w:t>
      </w:r>
      <w:r w:rsidR="00B4205A" w:rsidRPr="00B4205A">
        <w:rPr>
          <w:spacing w:val="-3"/>
        </w:rPr>
        <w:t xml:space="preserve"> </w:t>
      </w:r>
      <w:r>
        <w:rPr>
          <w:spacing w:val="-3"/>
        </w:rPr>
        <w:t>e</w:t>
      </w:r>
      <w:r w:rsidR="00B4205A" w:rsidRPr="00B4205A">
        <w:rPr>
          <w:spacing w:val="-3"/>
        </w:rPr>
        <w:t xml:space="preserve">l acreedor refaccionario podrá exigir anotación sobre la finca refaccionada por las cantidades </w:t>
      </w:r>
      <w:r w:rsidR="008C436B">
        <w:rPr>
          <w:spacing w:val="-3"/>
        </w:rPr>
        <w:t>prestadas</w:t>
      </w:r>
      <w:r w:rsidR="00B4205A" w:rsidRPr="00B4205A">
        <w:rPr>
          <w:spacing w:val="-3"/>
        </w:rPr>
        <w:t>, presentando el contrato por escrito que haya celebrado con el deudor.</w:t>
      </w:r>
    </w:p>
    <w:p w14:paraId="76B12A68" w14:textId="06CCD55C" w:rsidR="00FB11CE" w:rsidRDefault="00FB11CE" w:rsidP="00B4205A">
      <w:pPr>
        <w:spacing w:before="120" w:after="120" w:line="360" w:lineRule="auto"/>
        <w:ind w:firstLine="708"/>
        <w:jc w:val="both"/>
        <w:rPr>
          <w:spacing w:val="-3"/>
        </w:rPr>
      </w:pPr>
      <w:r>
        <w:rPr>
          <w:spacing w:val="-3"/>
        </w:rPr>
        <w:lastRenderedPageBreak/>
        <w:t xml:space="preserve">No obstante, </w:t>
      </w:r>
      <w:r w:rsidR="0044784B">
        <w:rPr>
          <w:spacing w:val="-3"/>
        </w:rPr>
        <w:t>c</w:t>
      </w:r>
      <w:r w:rsidR="0044784B" w:rsidRPr="00B4205A">
        <w:rPr>
          <w:spacing w:val="-3"/>
        </w:rPr>
        <w:t>onforme al art</w:t>
      </w:r>
      <w:r w:rsidR="0044784B">
        <w:rPr>
          <w:spacing w:val="-3"/>
        </w:rPr>
        <w:t>ículo</w:t>
      </w:r>
      <w:r w:rsidR="0044784B" w:rsidRPr="00B4205A">
        <w:rPr>
          <w:spacing w:val="-3"/>
        </w:rPr>
        <w:t xml:space="preserve"> </w:t>
      </w:r>
      <w:r w:rsidR="0044784B">
        <w:rPr>
          <w:spacing w:val="-3"/>
        </w:rPr>
        <w:t>61</w:t>
      </w:r>
      <w:r w:rsidR="0044784B" w:rsidRPr="00B4205A">
        <w:rPr>
          <w:spacing w:val="-3"/>
        </w:rPr>
        <w:t xml:space="preserve"> </w:t>
      </w:r>
      <w:r w:rsidR="0044784B">
        <w:rPr>
          <w:spacing w:val="-3"/>
        </w:rPr>
        <w:t>de la Ley Hipotecaria</w:t>
      </w:r>
      <w:r w:rsidR="0044784B" w:rsidRPr="00B4205A">
        <w:rPr>
          <w:spacing w:val="-3"/>
        </w:rPr>
        <w:t xml:space="preserve"> </w:t>
      </w:r>
      <w:r>
        <w:rPr>
          <w:spacing w:val="-3"/>
        </w:rPr>
        <w:t xml:space="preserve">si la finca estuviera gravada, junto con el contrato de préstamo </w:t>
      </w:r>
      <w:r w:rsidR="0044784B">
        <w:rPr>
          <w:spacing w:val="-3"/>
        </w:rPr>
        <w:t xml:space="preserve">habrá de presentarse convenio </w:t>
      </w:r>
      <w:r w:rsidR="0044784B" w:rsidRPr="00B4205A">
        <w:rPr>
          <w:spacing w:val="-3"/>
        </w:rPr>
        <w:t xml:space="preserve">escritura pública entre el propietario y las personas a cuyo favor estuvieren constituidas </w:t>
      </w:r>
      <w:r w:rsidR="0044784B">
        <w:rPr>
          <w:spacing w:val="-3"/>
        </w:rPr>
        <w:t xml:space="preserve">las cargas </w:t>
      </w:r>
      <w:r w:rsidR="0044784B" w:rsidRPr="00B4205A">
        <w:rPr>
          <w:spacing w:val="-3"/>
        </w:rPr>
        <w:t>sobre el objeto de la refacción misma y el valor de la finca antes de empezar las obras, o providencia judicial</w:t>
      </w:r>
      <w:r w:rsidR="004B1994">
        <w:rPr>
          <w:spacing w:val="-3"/>
        </w:rPr>
        <w:t>,</w:t>
      </w:r>
      <w:r w:rsidR="0044784B" w:rsidRPr="00B4205A">
        <w:rPr>
          <w:spacing w:val="-3"/>
        </w:rPr>
        <w:t xml:space="preserve"> dictada en expediente instruido para hacer constar dicho valor, y con citación de todas las indicadas personas</w:t>
      </w:r>
      <w:r w:rsidR="004B1994">
        <w:rPr>
          <w:spacing w:val="-3"/>
        </w:rPr>
        <w:t>.</w:t>
      </w:r>
    </w:p>
    <w:p w14:paraId="05E024DB" w14:textId="373A3C03" w:rsidR="00B4205A" w:rsidRPr="00B4205A" w:rsidRDefault="004B1994" w:rsidP="00456F2A">
      <w:pPr>
        <w:spacing w:before="120" w:after="120" w:line="360" w:lineRule="auto"/>
        <w:ind w:firstLine="708"/>
        <w:jc w:val="both"/>
        <w:rPr>
          <w:spacing w:val="-3"/>
        </w:rPr>
      </w:pPr>
      <w:r>
        <w:rPr>
          <w:spacing w:val="-3"/>
        </w:rPr>
        <w:t>En ambos casos, la</w:t>
      </w:r>
      <w:r w:rsidR="00B4205A" w:rsidRPr="00B4205A">
        <w:rPr>
          <w:spacing w:val="-3"/>
        </w:rPr>
        <w:t xml:space="preserve"> anotación surtirá, respecto al crédito refaccionario, todos los efectos de la hipoteca</w:t>
      </w:r>
      <w:r w:rsidR="00456F2A">
        <w:rPr>
          <w:spacing w:val="-3"/>
        </w:rPr>
        <w:t>, si bien</w:t>
      </w:r>
      <w:r w:rsidR="00456F2A" w:rsidRPr="00B4205A">
        <w:rPr>
          <w:spacing w:val="-3"/>
        </w:rPr>
        <w:t xml:space="preserve"> </w:t>
      </w:r>
      <w:r w:rsidR="00456F2A">
        <w:rPr>
          <w:spacing w:val="-3"/>
        </w:rPr>
        <w:t>c</w:t>
      </w:r>
      <w:r w:rsidR="00456F2A" w:rsidRPr="00B4205A">
        <w:rPr>
          <w:spacing w:val="-3"/>
        </w:rPr>
        <w:t>onforme al art</w:t>
      </w:r>
      <w:r w:rsidR="00456F2A">
        <w:rPr>
          <w:spacing w:val="-3"/>
        </w:rPr>
        <w:t>ículo</w:t>
      </w:r>
      <w:r w:rsidR="00456F2A" w:rsidRPr="00B4205A">
        <w:rPr>
          <w:spacing w:val="-3"/>
        </w:rPr>
        <w:t xml:space="preserve"> </w:t>
      </w:r>
      <w:r w:rsidR="00456F2A">
        <w:rPr>
          <w:spacing w:val="-3"/>
        </w:rPr>
        <w:t>64</w:t>
      </w:r>
      <w:r w:rsidR="00456F2A" w:rsidRPr="00B4205A">
        <w:rPr>
          <w:spacing w:val="-3"/>
        </w:rPr>
        <w:t xml:space="preserve"> </w:t>
      </w:r>
      <w:r w:rsidR="00456F2A">
        <w:rPr>
          <w:spacing w:val="-3"/>
        </w:rPr>
        <w:t>de la Ley Hipotecaria</w:t>
      </w:r>
      <w:r w:rsidR="00456F2A" w:rsidRPr="00B4205A">
        <w:rPr>
          <w:spacing w:val="-3"/>
        </w:rPr>
        <w:t xml:space="preserve"> </w:t>
      </w:r>
      <w:r w:rsidR="00456F2A">
        <w:rPr>
          <w:spacing w:val="-3"/>
        </w:rPr>
        <w:t>l</w:t>
      </w:r>
      <w:r w:rsidR="00B4205A" w:rsidRPr="00B4205A">
        <w:rPr>
          <w:spacing w:val="-3"/>
        </w:rPr>
        <w:t>as personas a cuyo favor estuvieren constituidos derechos reales sobre la finca refaccionada conservarán su derecho de preferencia respecto al acreedor refaccionario, pero solamente por un valor igual al que se hubiere declarado a la misma finca.</w:t>
      </w:r>
    </w:p>
    <w:p w14:paraId="02F2A03B" w14:textId="4F7DAAAD" w:rsidR="00B4205A" w:rsidRPr="00B4205A" w:rsidRDefault="00B4205A" w:rsidP="00B4205A">
      <w:pPr>
        <w:spacing w:before="120" w:after="120" w:line="360" w:lineRule="auto"/>
        <w:ind w:firstLine="708"/>
        <w:jc w:val="both"/>
        <w:rPr>
          <w:spacing w:val="-3"/>
        </w:rPr>
      </w:pPr>
      <w:r w:rsidRPr="00B4205A">
        <w:rPr>
          <w:spacing w:val="-3"/>
        </w:rPr>
        <w:t>El acreedor refaccionario será considerado como hipotecario respecto a lo que exceda el valor de la finca al de las cargas, y en todo caso, respecto a la diferencia entre el precio dado a la misma finca antes de las obras y el que alcanzare en su enajenación judicial.</w:t>
      </w:r>
    </w:p>
    <w:p w14:paraId="30F9B387" w14:textId="77777777" w:rsidR="00B4205A" w:rsidRPr="00B4205A" w:rsidRDefault="00B4205A" w:rsidP="00B4205A">
      <w:pPr>
        <w:spacing w:before="120" w:after="120" w:line="360" w:lineRule="auto"/>
        <w:ind w:firstLine="708"/>
        <w:jc w:val="both"/>
        <w:rPr>
          <w:spacing w:val="-3"/>
        </w:rPr>
      </w:pPr>
    </w:p>
    <w:p w14:paraId="76690F71" w14:textId="6DB52B02" w:rsidR="00B4205A" w:rsidRPr="00BD3312" w:rsidRDefault="00B4205A" w:rsidP="00BD3312">
      <w:pPr>
        <w:spacing w:before="120" w:after="120" w:line="360" w:lineRule="auto"/>
        <w:ind w:firstLine="708"/>
        <w:jc w:val="both"/>
        <w:rPr>
          <w:b/>
          <w:bCs/>
          <w:spacing w:val="-3"/>
        </w:rPr>
      </w:pPr>
      <w:r w:rsidRPr="00BD3312">
        <w:rPr>
          <w:b/>
          <w:bCs/>
          <w:spacing w:val="-3"/>
        </w:rPr>
        <w:t>Anotaci</w:t>
      </w:r>
      <w:r w:rsidR="00BD3312" w:rsidRPr="00BD3312">
        <w:rPr>
          <w:b/>
          <w:bCs/>
          <w:spacing w:val="-3"/>
        </w:rPr>
        <w:t>ón</w:t>
      </w:r>
      <w:r w:rsidRPr="00BD3312">
        <w:rPr>
          <w:b/>
          <w:bCs/>
          <w:spacing w:val="-3"/>
        </w:rPr>
        <w:t xml:space="preserve"> preventiva por defectos subsanables.</w:t>
      </w:r>
    </w:p>
    <w:p w14:paraId="37826B3F" w14:textId="1835FA70" w:rsidR="00B4205A" w:rsidRPr="00B4205A" w:rsidRDefault="001B0D74" w:rsidP="00B4205A">
      <w:pPr>
        <w:spacing w:before="120" w:after="120" w:line="360" w:lineRule="auto"/>
        <w:ind w:firstLine="708"/>
        <w:jc w:val="both"/>
        <w:rPr>
          <w:spacing w:val="-3"/>
        </w:rPr>
      </w:pPr>
      <w:r w:rsidRPr="00B4205A">
        <w:rPr>
          <w:spacing w:val="-3"/>
        </w:rPr>
        <w:t>El art</w:t>
      </w:r>
      <w:r>
        <w:rPr>
          <w:spacing w:val="-3"/>
        </w:rPr>
        <w:t>ículo</w:t>
      </w:r>
      <w:r w:rsidRPr="00B4205A">
        <w:rPr>
          <w:spacing w:val="-3"/>
        </w:rPr>
        <w:t xml:space="preserve"> 42</w:t>
      </w:r>
      <w:r>
        <w:rPr>
          <w:spacing w:val="-3"/>
        </w:rPr>
        <w:t xml:space="preserve">.8ª de la </w:t>
      </w:r>
      <w:r w:rsidRPr="00B4205A">
        <w:rPr>
          <w:spacing w:val="-3"/>
        </w:rPr>
        <w:t>L</w:t>
      </w:r>
      <w:r>
        <w:rPr>
          <w:spacing w:val="-3"/>
        </w:rPr>
        <w:t xml:space="preserve">ey </w:t>
      </w:r>
      <w:r w:rsidRPr="00B4205A">
        <w:rPr>
          <w:spacing w:val="-3"/>
        </w:rPr>
        <w:t>H</w:t>
      </w:r>
      <w:r>
        <w:rPr>
          <w:spacing w:val="-3"/>
        </w:rPr>
        <w:t>ipotecaria</w:t>
      </w:r>
      <w:r w:rsidRPr="00B4205A">
        <w:rPr>
          <w:spacing w:val="-3"/>
        </w:rPr>
        <w:t xml:space="preserve"> </w:t>
      </w:r>
      <w:r>
        <w:rPr>
          <w:spacing w:val="-3"/>
        </w:rPr>
        <w:t>permite</w:t>
      </w:r>
      <w:r w:rsidRPr="00B4205A">
        <w:rPr>
          <w:spacing w:val="-3"/>
        </w:rPr>
        <w:t xml:space="preserve"> pedir anotación preventiva </w:t>
      </w:r>
      <w:r>
        <w:rPr>
          <w:spacing w:val="-3"/>
        </w:rPr>
        <w:t xml:space="preserve">al </w:t>
      </w:r>
      <w:r w:rsidR="00B4205A" w:rsidRPr="00B4205A">
        <w:rPr>
          <w:spacing w:val="-3"/>
        </w:rPr>
        <w:t xml:space="preserve">que presentare en el Registro algún título cuya inscripción no pueda hacerse por falta de algún requisito subsanable o por imposibilidad del </w:t>
      </w:r>
      <w:r w:rsidR="00747D9D">
        <w:rPr>
          <w:spacing w:val="-3"/>
        </w:rPr>
        <w:t>r</w:t>
      </w:r>
      <w:r w:rsidR="00B4205A" w:rsidRPr="00B4205A">
        <w:rPr>
          <w:spacing w:val="-3"/>
        </w:rPr>
        <w:t>egistrador</w:t>
      </w:r>
      <w:r w:rsidR="00747D9D">
        <w:rPr>
          <w:spacing w:val="-3"/>
        </w:rPr>
        <w:t>,</w:t>
      </w:r>
      <w:r w:rsidR="00B4205A" w:rsidRPr="00B4205A">
        <w:rPr>
          <w:spacing w:val="-3"/>
        </w:rPr>
        <w:t xml:space="preserve"> o cuando este inicie de oficio el procedimiento de rectificación de errores que observe en algún asiento ya practicado</w:t>
      </w:r>
      <w:r w:rsidR="00747D9D">
        <w:rPr>
          <w:spacing w:val="-3"/>
        </w:rPr>
        <w:t>.</w:t>
      </w:r>
    </w:p>
    <w:p w14:paraId="40F9BB31" w14:textId="5FDBDFDB" w:rsidR="00B4205A" w:rsidRPr="00B4205A" w:rsidRDefault="00B4205A" w:rsidP="00B4205A">
      <w:pPr>
        <w:spacing w:before="120" w:after="120" w:line="360" w:lineRule="auto"/>
        <w:ind w:firstLine="708"/>
        <w:jc w:val="both"/>
        <w:rPr>
          <w:spacing w:val="-3"/>
        </w:rPr>
      </w:pPr>
      <w:r w:rsidRPr="00B4205A">
        <w:rPr>
          <w:spacing w:val="-3"/>
        </w:rPr>
        <w:t xml:space="preserve">Para la práctica de la anotación preventiva </w:t>
      </w:r>
      <w:r w:rsidR="001421AC">
        <w:rPr>
          <w:spacing w:val="-3"/>
        </w:rPr>
        <w:t>basta la solicitud a</w:t>
      </w:r>
      <w:r w:rsidRPr="00B4205A">
        <w:rPr>
          <w:spacing w:val="-3"/>
        </w:rPr>
        <w:t xml:space="preserve">l </w:t>
      </w:r>
      <w:r w:rsidR="001421AC">
        <w:rPr>
          <w:spacing w:val="-3"/>
        </w:rPr>
        <w:t>r</w:t>
      </w:r>
      <w:r w:rsidRPr="00B4205A">
        <w:rPr>
          <w:spacing w:val="-3"/>
        </w:rPr>
        <w:t xml:space="preserve">egistrador </w:t>
      </w:r>
      <w:r w:rsidR="001421AC" w:rsidRPr="00B4205A">
        <w:rPr>
          <w:spacing w:val="-3"/>
        </w:rPr>
        <w:t xml:space="preserve">dentro del </w:t>
      </w:r>
      <w:r w:rsidR="001421AC">
        <w:rPr>
          <w:spacing w:val="-3"/>
        </w:rPr>
        <w:t xml:space="preserve">plazo de vigencia </w:t>
      </w:r>
      <w:r w:rsidR="001421AC" w:rsidRPr="00B4205A">
        <w:rPr>
          <w:spacing w:val="-3"/>
        </w:rPr>
        <w:t>del asiento de presentación</w:t>
      </w:r>
      <w:r w:rsidR="001421AC">
        <w:rPr>
          <w:spacing w:val="-3"/>
        </w:rPr>
        <w:t>, si bien en ocasiones</w:t>
      </w:r>
      <w:r w:rsidRPr="00B4205A">
        <w:rPr>
          <w:spacing w:val="-3"/>
        </w:rPr>
        <w:t xml:space="preserve"> la ley impone la </w:t>
      </w:r>
      <w:r w:rsidR="00E3542A">
        <w:rPr>
          <w:spacing w:val="-3"/>
        </w:rPr>
        <w:t>práctica</w:t>
      </w:r>
      <w:r w:rsidR="003057D9">
        <w:rPr>
          <w:spacing w:val="-3"/>
        </w:rPr>
        <w:t xml:space="preserve"> de </w:t>
      </w:r>
      <w:r w:rsidRPr="00B4205A">
        <w:rPr>
          <w:spacing w:val="-3"/>
        </w:rPr>
        <w:t>oficio</w:t>
      </w:r>
      <w:r w:rsidR="003057D9">
        <w:rPr>
          <w:spacing w:val="-3"/>
        </w:rPr>
        <w:t xml:space="preserve"> de </w:t>
      </w:r>
      <w:proofErr w:type="gramStart"/>
      <w:r w:rsidR="003057D9">
        <w:rPr>
          <w:spacing w:val="-3"/>
        </w:rPr>
        <w:t>la misma</w:t>
      </w:r>
      <w:proofErr w:type="gramEnd"/>
      <w:r w:rsidR="003057D9">
        <w:rPr>
          <w:spacing w:val="-3"/>
        </w:rPr>
        <w:t>.</w:t>
      </w:r>
    </w:p>
    <w:p w14:paraId="5B2E6ADE" w14:textId="62AA31D6" w:rsidR="00B4205A" w:rsidRPr="00B4205A" w:rsidRDefault="00B4205A" w:rsidP="00B4205A">
      <w:pPr>
        <w:spacing w:before="120" w:after="120" w:line="360" w:lineRule="auto"/>
        <w:ind w:firstLine="708"/>
        <w:jc w:val="both"/>
        <w:rPr>
          <w:spacing w:val="-3"/>
        </w:rPr>
      </w:pPr>
      <w:r w:rsidRPr="00B4205A">
        <w:rPr>
          <w:spacing w:val="-3"/>
        </w:rPr>
        <w:t>E</w:t>
      </w:r>
      <w:r w:rsidR="00E3542A">
        <w:rPr>
          <w:spacing w:val="-3"/>
        </w:rPr>
        <w:t>n cuanto a sus</w:t>
      </w:r>
      <w:r w:rsidRPr="00B4205A">
        <w:rPr>
          <w:spacing w:val="-3"/>
        </w:rPr>
        <w:t xml:space="preserve"> efecto</w:t>
      </w:r>
      <w:r w:rsidR="00E3542A">
        <w:rPr>
          <w:spacing w:val="-3"/>
        </w:rPr>
        <w:t xml:space="preserve">s, esta </w:t>
      </w:r>
      <w:r w:rsidRPr="00B4205A">
        <w:rPr>
          <w:spacing w:val="-3"/>
        </w:rPr>
        <w:t xml:space="preserve">anotación preventiva </w:t>
      </w:r>
      <w:r w:rsidR="00E3542A">
        <w:rPr>
          <w:spacing w:val="-3"/>
        </w:rPr>
        <w:t xml:space="preserve">prorroga la vigencia del </w:t>
      </w:r>
      <w:r w:rsidRPr="00B4205A">
        <w:rPr>
          <w:spacing w:val="-3"/>
        </w:rPr>
        <w:t>asiento de presentación</w:t>
      </w:r>
      <w:r w:rsidR="0096434B">
        <w:rPr>
          <w:spacing w:val="-3"/>
        </w:rPr>
        <w:t xml:space="preserve"> hasta su caducidad o conversión en inscripción</w:t>
      </w:r>
      <w:r w:rsidRPr="00B4205A">
        <w:rPr>
          <w:spacing w:val="-3"/>
        </w:rPr>
        <w:t>.</w:t>
      </w:r>
    </w:p>
    <w:p w14:paraId="4574E82B" w14:textId="5EA2A03F" w:rsidR="00B4205A" w:rsidRDefault="00E45DBD" w:rsidP="00B4205A">
      <w:pPr>
        <w:spacing w:before="120" w:after="120" w:line="360" w:lineRule="auto"/>
        <w:ind w:firstLine="708"/>
        <w:jc w:val="both"/>
        <w:rPr>
          <w:spacing w:val="-3"/>
        </w:rPr>
      </w:pPr>
      <w:r>
        <w:rPr>
          <w:spacing w:val="-3"/>
        </w:rPr>
        <w:t xml:space="preserve">No obstante, esta </w:t>
      </w:r>
      <w:r w:rsidR="00B4205A" w:rsidRPr="00B4205A">
        <w:rPr>
          <w:spacing w:val="-3"/>
        </w:rPr>
        <w:t xml:space="preserve">anotación preventiva ha perdido en parte su función </w:t>
      </w:r>
      <w:r>
        <w:rPr>
          <w:spacing w:val="-3"/>
        </w:rPr>
        <w:t>desde que el artículo</w:t>
      </w:r>
      <w:r w:rsidR="00B4205A" w:rsidRPr="00B4205A">
        <w:rPr>
          <w:spacing w:val="-3"/>
        </w:rPr>
        <w:t xml:space="preserve"> 323 de la L</w:t>
      </w:r>
      <w:r>
        <w:rPr>
          <w:spacing w:val="-3"/>
        </w:rPr>
        <w:t>ey Hipotecaria prevé que s</w:t>
      </w:r>
      <w:r w:rsidR="00B4205A" w:rsidRPr="00B4205A">
        <w:rPr>
          <w:spacing w:val="-3"/>
        </w:rPr>
        <w:t xml:space="preserve">i la calificación fuere negativa o el registrador denegare la práctica de la inscripción de los títulos no calificados en plazo, se entenderá prorrogado automáticamente el asiento de presentación por un plazo de sesenta días contados desde la fecha de la </w:t>
      </w:r>
      <w:r w:rsidR="00D031BA">
        <w:rPr>
          <w:spacing w:val="-3"/>
        </w:rPr>
        <w:t>notificación de la calificación</w:t>
      </w:r>
      <w:r w:rsidR="00B4205A" w:rsidRPr="00B4205A">
        <w:rPr>
          <w:spacing w:val="-3"/>
        </w:rPr>
        <w:t>.</w:t>
      </w:r>
    </w:p>
    <w:p w14:paraId="30FB8FDD" w14:textId="77777777" w:rsidR="00B4205A" w:rsidRPr="00B4205A" w:rsidRDefault="00B4205A" w:rsidP="00B4205A">
      <w:pPr>
        <w:spacing w:before="120" w:after="120" w:line="360" w:lineRule="auto"/>
        <w:ind w:firstLine="708"/>
        <w:jc w:val="both"/>
        <w:rPr>
          <w:spacing w:val="-3"/>
        </w:rPr>
      </w:pPr>
    </w:p>
    <w:p w14:paraId="3DCAEDBF" w14:textId="4601809F" w:rsidR="00B4205A" w:rsidRPr="00BD3312" w:rsidRDefault="00B4205A" w:rsidP="00BD3312">
      <w:pPr>
        <w:spacing w:before="120" w:after="120" w:line="360" w:lineRule="auto"/>
        <w:jc w:val="both"/>
        <w:rPr>
          <w:b/>
          <w:bCs/>
          <w:spacing w:val="-3"/>
        </w:rPr>
      </w:pPr>
      <w:r w:rsidRPr="00BD3312">
        <w:rPr>
          <w:b/>
          <w:bCs/>
          <w:spacing w:val="-3"/>
        </w:rPr>
        <w:lastRenderedPageBreak/>
        <w:t>PARTICULARIDAD DE LAS DE SUSPENSIÓN DE MANDAMIENTOS DE EMBARGO POR DÉBITOS A LA HACIENDA.</w:t>
      </w:r>
    </w:p>
    <w:p w14:paraId="2D0F97C6" w14:textId="579374B0" w:rsidR="00B4205A" w:rsidRPr="00B4205A" w:rsidRDefault="004D1A34" w:rsidP="00B4205A">
      <w:pPr>
        <w:spacing w:before="120" w:after="120" w:line="360" w:lineRule="auto"/>
        <w:ind w:firstLine="708"/>
        <w:jc w:val="both"/>
        <w:rPr>
          <w:spacing w:val="-3"/>
        </w:rPr>
      </w:pPr>
      <w:r>
        <w:rPr>
          <w:spacing w:val="-3"/>
        </w:rPr>
        <w:t xml:space="preserve">Uno de los casos en los que </w:t>
      </w:r>
      <w:r w:rsidR="00B4205A" w:rsidRPr="00B4205A">
        <w:rPr>
          <w:spacing w:val="-3"/>
        </w:rPr>
        <w:t xml:space="preserve">la anotación preventiva por defectos subsanables se practica </w:t>
      </w:r>
      <w:r>
        <w:rPr>
          <w:spacing w:val="-3"/>
        </w:rPr>
        <w:t>de oficio es</w:t>
      </w:r>
      <w:r w:rsidR="00AB1DDC">
        <w:rPr>
          <w:spacing w:val="-3"/>
        </w:rPr>
        <w:t>, conforme al artículo 164 del Reglamento Hipotecario</w:t>
      </w:r>
      <w:r w:rsidR="00E13893">
        <w:rPr>
          <w:spacing w:val="-3"/>
        </w:rPr>
        <w:t xml:space="preserve"> de 14 de febrero de 1947</w:t>
      </w:r>
      <w:r w:rsidR="00AB1DDC">
        <w:rPr>
          <w:spacing w:val="-3"/>
        </w:rPr>
        <w:t>,</w:t>
      </w:r>
      <w:r>
        <w:rPr>
          <w:spacing w:val="-3"/>
        </w:rPr>
        <w:t xml:space="preserve"> cuando el defecto afecta </w:t>
      </w:r>
      <w:r w:rsidR="00751119">
        <w:rPr>
          <w:spacing w:val="-3"/>
        </w:rPr>
        <w:t xml:space="preserve">a un mandamiento de embargo acordado en causa criminal </w:t>
      </w:r>
      <w:r w:rsidR="00AB1DDC">
        <w:rPr>
          <w:spacing w:val="-3"/>
        </w:rPr>
        <w:t>o en que tenga inter</w:t>
      </w:r>
      <w:r w:rsidR="000F7306">
        <w:rPr>
          <w:spacing w:val="-3"/>
        </w:rPr>
        <w:t>és directo el Estado.</w:t>
      </w:r>
    </w:p>
    <w:p w14:paraId="0F2443C8" w14:textId="77777777" w:rsidR="00B4205A" w:rsidRPr="00B4205A" w:rsidRDefault="00B4205A" w:rsidP="00B4205A">
      <w:pPr>
        <w:spacing w:before="120" w:after="120" w:line="360" w:lineRule="auto"/>
        <w:ind w:firstLine="708"/>
        <w:jc w:val="both"/>
        <w:rPr>
          <w:spacing w:val="-3"/>
        </w:rPr>
      </w:pPr>
    </w:p>
    <w:p w14:paraId="7D48FB56" w14:textId="78E8D18D" w:rsidR="00B4205A" w:rsidRPr="00BD3312" w:rsidRDefault="00B4205A" w:rsidP="00BD3312">
      <w:pPr>
        <w:spacing w:before="120" w:after="120" w:line="360" w:lineRule="auto"/>
        <w:jc w:val="both"/>
        <w:rPr>
          <w:b/>
          <w:bCs/>
          <w:spacing w:val="-3"/>
        </w:rPr>
      </w:pPr>
      <w:r w:rsidRPr="00BD3312">
        <w:rPr>
          <w:b/>
          <w:bCs/>
          <w:spacing w:val="-3"/>
        </w:rPr>
        <w:t>EXTINCIÓN DE LAS ANOTACIONES PREVENTIVAS.</w:t>
      </w:r>
    </w:p>
    <w:p w14:paraId="4F3B1817" w14:textId="0E0A8E2C" w:rsidR="00B4205A" w:rsidRPr="00B4205A" w:rsidRDefault="009E3ACF" w:rsidP="00B4205A">
      <w:pPr>
        <w:spacing w:before="120" w:after="120" w:line="360" w:lineRule="auto"/>
        <w:ind w:firstLine="708"/>
        <w:jc w:val="both"/>
        <w:rPr>
          <w:spacing w:val="-3"/>
        </w:rPr>
      </w:pPr>
      <w:r>
        <w:rPr>
          <w:spacing w:val="-3"/>
        </w:rPr>
        <w:t>Dispone e</w:t>
      </w:r>
      <w:r w:rsidR="00B4205A" w:rsidRPr="00B4205A">
        <w:rPr>
          <w:spacing w:val="-3"/>
        </w:rPr>
        <w:t xml:space="preserve">l artículo 77 de la Ley Hipotecaria </w:t>
      </w:r>
      <w:r>
        <w:rPr>
          <w:spacing w:val="-3"/>
        </w:rPr>
        <w:t>l</w:t>
      </w:r>
      <w:r w:rsidR="00B4205A" w:rsidRPr="00B4205A">
        <w:rPr>
          <w:spacing w:val="-3"/>
        </w:rPr>
        <w:t>as anotaciones preventivas se extinguen por cancelación</w:t>
      </w:r>
      <w:r w:rsidR="00C33DE3">
        <w:rPr>
          <w:spacing w:val="-3"/>
        </w:rPr>
        <w:t>, asiento que es estudiado en el tema siguiente del programa,</w:t>
      </w:r>
      <w:r w:rsidR="00B4205A" w:rsidRPr="00B4205A">
        <w:rPr>
          <w:spacing w:val="-3"/>
        </w:rPr>
        <w:t xml:space="preserve"> por caducidad o por su conversión en inscripción.</w:t>
      </w:r>
    </w:p>
    <w:p w14:paraId="613ED50D" w14:textId="2AE18BAA" w:rsidR="00B4205A" w:rsidRPr="00B4205A" w:rsidRDefault="00B4205A" w:rsidP="00FF699F">
      <w:pPr>
        <w:spacing w:before="120" w:after="120" w:line="360" w:lineRule="auto"/>
        <w:ind w:firstLine="708"/>
        <w:jc w:val="both"/>
        <w:rPr>
          <w:spacing w:val="-3"/>
        </w:rPr>
      </w:pPr>
      <w:r w:rsidRPr="00B4205A">
        <w:rPr>
          <w:spacing w:val="-3"/>
        </w:rPr>
        <w:t xml:space="preserve">La caducidad de </w:t>
      </w:r>
      <w:r w:rsidR="00110819">
        <w:rPr>
          <w:spacing w:val="-3"/>
        </w:rPr>
        <w:t>las anotaciones se rige por las siguientes reglas</w:t>
      </w:r>
      <w:r w:rsidR="00737A54">
        <w:rPr>
          <w:spacing w:val="-3"/>
        </w:rPr>
        <w:t>:</w:t>
      </w:r>
    </w:p>
    <w:p w14:paraId="42802BD7" w14:textId="191F3844" w:rsidR="00B4205A" w:rsidRPr="0020236E" w:rsidRDefault="00546F01" w:rsidP="0020236E">
      <w:pPr>
        <w:pStyle w:val="Prrafodelista"/>
        <w:numPr>
          <w:ilvl w:val="0"/>
          <w:numId w:val="33"/>
        </w:numPr>
        <w:spacing w:before="120" w:after="120" w:line="360" w:lineRule="auto"/>
        <w:ind w:left="993" w:hanging="284"/>
        <w:jc w:val="both"/>
        <w:rPr>
          <w:spacing w:val="-3"/>
        </w:rPr>
      </w:pPr>
      <w:r w:rsidRPr="0020236E">
        <w:rPr>
          <w:spacing w:val="-3"/>
        </w:rPr>
        <w:t>Conforme al artículo 86 de la Ley Hipotecaria, l</w:t>
      </w:r>
      <w:r w:rsidR="00B4205A" w:rsidRPr="0020236E">
        <w:rPr>
          <w:spacing w:val="-3"/>
        </w:rPr>
        <w:t xml:space="preserve">a regla general </w:t>
      </w:r>
      <w:r w:rsidRPr="0020236E">
        <w:rPr>
          <w:spacing w:val="-3"/>
        </w:rPr>
        <w:t>es que l</w:t>
      </w:r>
      <w:r w:rsidR="00B4205A" w:rsidRPr="0020236E">
        <w:rPr>
          <w:spacing w:val="-3"/>
        </w:rPr>
        <w:t>as anotaciones preventivas, cualquiera que sea su origen, cadu</w:t>
      </w:r>
      <w:r w:rsidRPr="0020236E">
        <w:rPr>
          <w:spacing w:val="-3"/>
        </w:rPr>
        <w:t>quen</w:t>
      </w:r>
      <w:r w:rsidR="00B4205A" w:rsidRPr="0020236E">
        <w:rPr>
          <w:spacing w:val="-3"/>
        </w:rPr>
        <w:t xml:space="preserve"> a los cuatro años de </w:t>
      </w:r>
      <w:r w:rsidRPr="0020236E">
        <w:rPr>
          <w:spacing w:val="-3"/>
        </w:rPr>
        <w:t>su fecha</w:t>
      </w:r>
      <w:r w:rsidR="00B4205A" w:rsidRPr="0020236E">
        <w:rPr>
          <w:spacing w:val="-3"/>
        </w:rPr>
        <w:t>.</w:t>
      </w:r>
    </w:p>
    <w:p w14:paraId="14381F74" w14:textId="05A0D167" w:rsidR="00B4205A" w:rsidRPr="0020236E" w:rsidRDefault="00FC7839" w:rsidP="0020236E">
      <w:pPr>
        <w:pStyle w:val="Prrafodelista"/>
        <w:numPr>
          <w:ilvl w:val="0"/>
          <w:numId w:val="33"/>
        </w:numPr>
        <w:spacing w:before="120" w:after="120" w:line="360" w:lineRule="auto"/>
        <w:ind w:left="993" w:hanging="284"/>
        <w:jc w:val="both"/>
        <w:rPr>
          <w:spacing w:val="-3"/>
        </w:rPr>
      </w:pPr>
      <w:r w:rsidRPr="0020236E">
        <w:rPr>
          <w:spacing w:val="-3"/>
        </w:rPr>
        <w:t>No obstante, este mismo precepto prevé que</w:t>
      </w:r>
      <w:r w:rsidR="00B4205A" w:rsidRPr="0020236E">
        <w:rPr>
          <w:spacing w:val="-3"/>
        </w:rPr>
        <w:t xml:space="preserve"> a instancia de los interesados o por mandato de las autoridades que las decretaron, podrán prorrogarse por un plazo de cuatro años más, siempre que el mandamiento ordenando la prórroga sea presentado antes de que caduque el asiento. La anotación prorrogada caducará a los cuatro años de la fecha de la anotación misma de prórroga. Podrán practicarse sucesivas ulteriores prórrogas en los mismos términos.</w:t>
      </w:r>
    </w:p>
    <w:p w14:paraId="5EDB17C6" w14:textId="0D29E66F" w:rsidR="00B4205A" w:rsidRPr="0020236E" w:rsidRDefault="0053479C" w:rsidP="0020236E">
      <w:pPr>
        <w:pStyle w:val="Prrafodelista"/>
        <w:numPr>
          <w:ilvl w:val="0"/>
          <w:numId w:val="33"/>
        </w:numPr>
        <w:spacing w:before="120" w:after="120" w:line="360" w:lineRule="auto"/>
        <w:ind w:left="993" w:hanging="284"/>
        <w:jc w:val="both"/>
        <w:rPr>
          <w:spacing w:val="-3"/>
        </w:rPr>
      </w:pPr>
      <w:r w:rsidRPr="0020236E">
        <w:rPr>
          <w:spacing w:val="-3"/>
        </w:rPr>
        <w:t>Por último, tienen plazo especial de caducidad las siguientes</w:t>
      </w:r>
      <w:r w:rsidR="00B4205A" w:rsidRPr="0020236E">
        <w:rPr>
          <w:spacing w:val="-3"/>
        </w:rPr>
        <w:t xml:space="preserve"> anotaciones:</w:t>
      </w:r>
    </w:p>
    <w:p w14:paraId="162BE079" w14:textId="673FB229" w:rsidR="00B4205A" w:rsidRPr="0020236E" w:rsidRDefault="0053479C" w:rsidP="0020236E">
      <w:pPr>
        <w:pStyle w:val="Prrafodelista"/>
        <w:numPr>
          <w:ilvl w:val="0"/>
          <w:numId w:val="34"/>
        </w:numPr>
        <w:spacing w:before="120" w:after="120" w:line="360" w:lineRule="auto"/>
        <w:ind w:left="1276" w:hanging="283"/>
        <w:jc w:val="both"/>
        <w:rPr>
          <w:spacing w:val="-3"/>
        </w:rPr>
      </w:pPr>
      <w:r w:rsidRPr="0020236E">
        <w:rPr>
          <w:spacing w:val="-3"/>
        </w:rPr>
        <w:t xml:space="preserve">La </w:t>
      </w:r>
      <w:r w:rsidR="00CB7FAF" w:rsidRPr="0020236E">
        <w:rPr>
          <w:spacing w:val="-3"/>
        </w:rPr>
        <w:t>practicada a</w:t>
      </w:r>
      <w:r w:rsidR="00B4205A" w:rsidRPr="0020236E">
        <w:rPr>
          <w:spacing w:val="-3"/>
        </w:rPr>
        <w:t xml:space="preserve"> favor del legatario que no lo sea de especie, </w:t>
      </w:r>
      <w:r w:rsidR="00CB7FAF" w:rsidRPr="0020236E">
        <w:rPr>
          <w:spacing w:val="-3"/>
        </w:rPr>
        <w:t xml:space="preserve">que conforme al artículo 87 de la Ley Hipotecaria </w:t>
      </w:r>
      <w:r w:rsidR="00B4205A" w:rsidRPr="0020236E">
        <w:rPr>
          <w:spacing w:val="-3"/>
        </w:rPr>
        <w:t>caducará al año de su fecha.</w:t>
      </w:r>
    </w:p>
    <w:p w14:paraId="7DD046A2" w14:textId="1941D950" w:rsidR="00B4205A" w:rsidRPr="0020236E" w:rsidRDefault="00B4205A" w:rsidP="0020236E">
      <w:pPr>
        <w:pStyle w:val="Prrafodelista"/>
        <w:numPr>
          <w:ilvl w:val="0"/>
          <w:numId w:val="34"/>
        </w:numPr>
        <w:spacing w:before="120" w:after="120" w:line="360" w:lineRule="auto"/>
        <w:ind w:left="1276" w:hanging="283"/>
        <w:jc w:val="both"/>
        <w:rPr>
          <w:spacing w:val="-3"/>
        </w:rPr>
      </w:pPr>
      <w:r w:rsidRPr="0020236E">
        <w:rPr>
          <w:spacing w:val="-3"/>
        </w:rPr>
        <w:t>La</w:t>
      </w:r>
      <w:r w:rsidR="00471592">
        <w:rPr>
          <w:spacing w:val="-3"/>
        </w:rPr>
        <w:t xml:space="preserve"> practicada</w:t>
      </w:r>
      <w:r w:rsidRPr="0020236E">
        <w:rPr>
          <w:spacing w:val="-3"/>
        </w:rPr>
        <w:t xml:space="preserve"> a favor del acreedor refaccionario</w:t>
      </w:r>
      <w:r w:rsidR="00AC085D" w:rsidRPr="0020236E">
        <w:rPr>
          <w:spacing w:val="-3"/>
        </w:rPr>
        <w:t>,</w:t>
      </w:r>
      <w:r w:rsidRPr="0020236E">
        <w:rPr>
          <w:spacing w:val="-3"/>
        </w:rPr>
        <w:t xml:space="preserve"> </w:t>
      </w:r>
      <w:r w:rsidR="00CB7FAF" w:rsidRPr="0020236E">
        <w:rPr>
          <w:spacing w:val="-3"/>
        </w:rPr>
        <w:t xml:space="preserve">que conforme al artículo 92 de la Ley Hipotecaria </w:t>
      </w:r>
      <w:r w:rsidRPr="0020236E">
        <w:rPr>
          <w:spacing w:val="-3"/>
        </w:rPr>
        <w:t>caducará a los sesenta días de concluida la obra objeto de la refacción.</w:t>
      </w:r>
    </w:p>
    <w:p w14:paraId="52C4EABC" w14:textId="0E3A811F" w:rsidR="00B4205A" w:rsidRPr="0020236E" w:rsidRDefault="00B4205A" w:rsidP="0020236E">
      <w:pPr>
        <w:pStyle w:val="Prrafodelista"/>
        <w:numPr>
          <w:ilvl w:val="0"/>
          <w:numId w:val="34"/>
        </w:numPr>
        <w:spacing w:before="120" w:after="120" w:line="360" w:lineRule="auto"/>
        <w:ind w:left="1276" w:hanging="283"/>
        <w:jc w:val="both"/>
        <w:rPr>
          <w:spacing w:val="-3"/>
        </w:rPr>
      </w:pPr>
      <w:r w:rsidRPr="0020236E">
        <w:rPr>
          <w:spacing w:val="-3"/>
        </w:rPr>
        <w:t>La anotación preventiva por defectos subsanables</w:t>
      </w:r>
      <w:r w:rsidR="0080405E" w:rsidRPr="0020236E">
        <w:rPr>
          <w:spacing w:val="-3"/>
        </w:rPr>
        <w:t>, que conforme al artículo 96 de la Ley Hipotecaria</w:t>
      </w:r>
      <w:r w:rsidRPr="0020236E">
        <w:rPr>
          <w:spacing w:val="-3"/>
        </w:rPr>
        <w:t xml:space="preserve"> caducará a los sesenta días de su fecha</w:t>
      </w:r>
      <w:r w:rsidR="0080405E" w:rsidRPr="0020236E">
        <w:rPr>
          <w:spacing w:val="-3"/>
        </w:rPr>
        <w:t xml:space="preserve">, plazo </w:t>
      </w:r>
      <w:r w:rsidRPr="0020236E">
        <w:rPr>
          <w:spacing w:val="-3"/>
        </w:rPr>
        <w:t>prorroga</w:t>
      </w:r>
      <w:r w:rsidR="0080405E" w:rsidRPr="0020236E">
        <w:rPr>
          <w:spacing w:val="-3"/>
        </w:rPr>
        <w:t>ble</w:t>
      </w:r>
      <w:r w:rsidRPr="0020236E">
        <w:rPr>
          <w:spacing w:val="-3"/>
        </w:rPr>
        <w:t xml:space="preserve"> hasta ciento ochenta días por justa causa y en virtud de providencia judicial.</w:t>
      </w:r>
    </w:p>
    <w:p w14:paraId="6670EA7A" w14:textId="77777777" w:rsidR="00D80A79" w:rsidRDefault="00B4205A" w:rsidP="00B4205A">
      <w:pPr>
        <w:spacing w:before="120" w:after="120" w:line="360" w:lineRule="auto"/>
        <w:ind w:firstLine="708"/>
        <w:jc w:val="both"/>
        <w:rPr>
          <w:spacing w:val="-3"/>
        </w:rPr>
      </w:pPr>
      <w:r w:rsidRPr="00B4205A">
        <w:rPr>
          <w:spacing w:val="-3"/>
        </w:rPr>
        <w:t xml:space="preserve">La conversión </w:t>
      </w:r>
      <w:r w:rsidR="00550659">
        <w:rPr>
          <w:spacing w:val="-3"/>
        </w:rPr>
        <w:t>de la</w:t>
      </w:r>
      <w:r w:rsidRPr="00B4205A">
        <w:rPr>
          <w:spacing w:val="-3"/>
        </w:rPr>
        <w:t xml:space="preserve"> anotación preventiva </w:t>
      </w:r>
      <w:r w:rsidR="00550659">
        <w:rPr>
          <w:spacing w:val="-3"/>
        </w:rPr>
        <w:t xml:space="preserve">en </w:t>
      </w:r>
      <w:r w:rsidRPr="00B4205A">
        <w:rPr>
          <w:spacing w:val="-3"/>
        </w:rPr>
        <w:t xml:space="preserve">inscripción </w:t>
      </w:r>
      <w:r w:rsidR="00550659">
        <w:rPr>
          <w:spacing w:val="-3"/>
        </w:rPr>
        <w:t xml:space="preserve">se produce, conforme al artículo 196 del Reglamento Hipotecario, </w:t>
      </w:r>
      <w:r w:rsidRPr="00B4205A">
        <w:rPr>
          <w:spacing w:val="-3"/>
        </w:rPr>
        <w:t xml:space="preserve">cuando la persona a cuyo favor estuviere </w:t>
      </w:r>
      <w:r w:rsidRPr="00B4205A">
        <w:rPr>
          <w:spacing w:val="-3"/>
        </w:rPr>
        <w:lastRenderedPageBreak/>
        <w:t>constituida adquiera definitivamente el derecho anotado</w:t>
      </w:r>
      <w:r w:rsidR="00F8341D">
        <w:rPr>
          <w:spacing w:val="-3"/>
        </w:rPr>
        <w:t>, en cuyo caso el artículo 70 de la Ley Hipotecaria dispone que la inscripción su</w:t>
      </w:r>
      <w:r w:rsidR="00EF2467">
        <w:rPr>
          <w:spacing w:val="-3"/>
        </w:rPr>
        <w:t>rtirá efectos desde la fecha de la anotación.</w:t>
      </w:r>
    </w:p>
    <w:p w14:paraId="3FA01F27" w14:textId="2F546FBE" w:rsidR="00B4205A" w:rsidRDefault="00D80A79" w:rsidP="00AC0014">
      <w:pPr>
        <w:spacing w:before="120" w:after="120" w:line="360" w:lineRule="auto"/>
        <w:ind w:firstLine="708"/>
        <w:jc w:val="both"/>
        <w:rPr>
          <w:spacing w:val="-3"/>
        </w:rPr>
      </w:pPr>
      <w:r>
        <w:rPr>
          <w:spacing w:val="-3"/>
        </w:rPr>
        <w:t xml:space="preserve">Ejemplos de anotaciones convertibles son las de </w:t>
      </w:r>
      <w:r w:rsidR="00B4205A" w:rsidRPr="00B4205A">
        <w:rPr>
          <w:spacing w:val="-3"/>
        </w:rPr>
        <w:t xml:space="preserve">suspensión por defectos subsanables, </w:t>
      </w:r>
      <w:r w:rsidR="00AC0014">
        <w:rPr>
          <w:spacing w:val="-3"/>
        </w:rPr>
        <w:t xml:space="preserve">la de crédito refaccionario o la de legado de </w:t>
      </w:r>
      <w:r w:rsidR="00B4205A" w:rsidRPr="00B4205A">
        <w:rPr>
          <w:spacing w:val="-3"/>
        </w:rPr>
        <w:t>bien inmueble determinado propio del testador</w:t>
      </w:r>
      <w:r w:rsidR="00AC0014">
        <w:rPr>
          <w:spacing w:val="-3"/>
        </w:rPr>
        <w:t>.</w:t>
      </w:r>
    </w:p>
    <w:p w14:paraId="0FBF0D16" w14:textId="7015A9B7" w:rsidR="00B4205A" w:rsidRPr="00B4205A" w:rsidRDefault="00AC0014" w:rsidP="00AC0014">
      <w:pPr>
        <w:spacing w:before="120" w:after="120" w:line="360" w:lineRule="auto"/>
        <w:ind w:firstLine="708"/>
        <w:jc w:val="both"/>
        <w:rPr>
          <w:spacing w:val="-3"/>
        </w:rPr>
      </w:pPr>
      <w:r>
        <w:rPr>
          <w:spacing w:val="-3"/>
        </w:rPr>
        <w:t>En cambio, no son convertibles las anotaciones de demanda o de embargo.</w:t>
      </w:r>
    </w:p>
    <w:p w14:paraId="2F65ADD4" w14:textId="77777777" w:rsidR="00B4205A" w:rsidRPr="00B4205A" w:rsidRDefault="00B4205A" w:rsidP="00B4205A">
      <w:pPr>
        <w:spacing w:before="120" w:after="120" w:line="360" w:lineRule="auto"/>
        <w:ind w:firstLine="708"/>
        <w:jc w:val="both"/>
        <w:rPr>
          <w:spacing w:val="-3"/>
        </w:rPr>
      </w:pPr>
    </w:p>
    <w:p w14:paraId="745C3E9E" w14:textId="552E8584" w:rsidR="00B4205A" w:rsidRPr="00BD3312" w:rsidRDefault="00B4205A" w:rsidP="00BD3312">
      <w:pPr>
        <w:spacing w:before="120" w:after="120" w:line="360" w:lineRule="auto"/>
        <w:jc w:val="both"/>
        <w:rPr>
          <w:b/>
          <w:bCs/>
          <w:spacing w:val="-3"/>
        </w:rPr>
      </w:pPr>
      <w:r w:rsidRPr="00BD3312">
        <w:rPr>
          <w:b/>
          <w:bCs/>
          <w:spacing w:val="-3"/>
        </w:rPr>
        <w:t>EXAMEN DE LA PRELACIÓN DE LOS CRÉDITOS ANOTADOS.</w:t>
      </w:r>
    </w:p>
    <w:p w14:paraId="11DB193B" w14:textId="135127FB" w:rsidR="00B4205A" w:rsidRPr="00B4205A" w:rsidRDefault="00A95A1F" w:rsidP="00B4205A">
      <w:pPr>
        <w:spacing w:before="120" w:after="120" w:line="360" w:lineRule="auto"/>
        <w:ind w:firstLine="708"/>
        <w:jc w:val="both"/>
        <w:rPr>
          <w:spacing w:val="-3"/>
        </w:rPr>
      </w:pPr>
      <w:r>
        <w:rPr>
          <w:spacing w:val="-3"/>
        </w:rPr>
        <w:t>Dispone e</w:t>
      </w:r>
      <w:r w:rsidR="00B4205A" w:rsidRPr="00B4205A">
        <w:rPr>
          <w:spacing w:val="-3"/>
        </w:rPr>
        <w:t>l art</w:t>
      </w:r>
      <w:r>
        <w:rPr>
          <w:spacing w:val="-3"/>
        </w:rPr>
        <w:t>ículo</w:t>
      </w:r>
      <w:r w:rsidR="00B4205A" w:rsidRPr="00B4205A">
        <w:rPr>
          <w:spacing w:val="-3"/>
        </w:rPr>
        <w:t xml:space="preserve"> 44 </w:t>
      </w:r>
      <w:r>
        <w:rPr>
          <w:spacing w:val="-3"/>
        </w:rPr>
        <w:t xml:space="preserve">de la </w:t>
      </w:r>
      <w:r w:rsidR="00B4205A" w:rsidRPr="00B4205A">
        <w:rPr>
          <w:spacing w:val="-3"/>
        </w:rPr>
        <w:t>L</w:t>
      </w:r>
      <w:r>
        <w:rPr>
          <w:spacing w:val="-3"/>
        </w:rPr>
        <w:t xml:space="preserve">ey </w:t>
      </w:r>
      <w:r w:rsidR="00B4205A" w:rsidRPr="00B4205A">
        <w:rPr>
          <w:spacing w:val="-3"/>
        </w:rPr>
        <w:t>H</w:t>
      </w:r>
      <w:r>
        <w:rPr>
          <w:spacing w:val="-3"/>
        </w:rPr>
        <w:t>ipotecaria</w:t>
      </w:r>
      <w:r w:rsidR="00B4205A" w:rsidRPr="00B4205A">
        <w:rPr>
          <w:spacing w:val="-3"/>
        </w:rPr>
        <w:t xml:space="preserve"> que</w:t>
      </w:r>
      <w:r>
        <w:rPr>
          <w:spacing w:val="-3"/>
        </w:rPr>
        <w:t xml:space="preserve"> e</w:t>
      </w:r>
      <w:r w:rsidR="00B4205A" w:rsidRPr="00B4205A">
        <w:rPr>
          <w:spacing w:val="-3"/>
        </w:rPr>
        <w:t xml:space="preserve">l acreedor que obtenga anotación </w:t>
      </w:r>
      <w:r w:rsidR="004D12D2">
        <w:rPr>
          <w:spacing w:val="-3"/>
        </w:rPr>
        <w:t xml:space="preserve">de embargo </w:t>
      </w:r>
      <w:r w:rsidR="00B4205A" w:rsidRPr="00B4205A">
        <w:rPr>
          <w:spacing w:val="-3"/>
        </w:rPr>
        <w:t xml:space="preserve">a su favor, tendrá para el cobro de su crédito la preferencia establecida en el artículo </w:t>
      </w:r>
      <w:r w:rsidR="00170CB6">
        <w:rPr>
          <w:spacing w:val="-3"/>
        </w:rPr>
        <w:t xml:space="preserve">1923 </w:t>
      </w:r>
      <w:r w:rsidR="00B4205A" w:rsidRPr="00B4205A">
        <w:rPr>
          <w:spacing w:val="-3"/>
        </w:rPr>
        <w:t>del Código Civil</w:t>
      </w:r>
      <w:r w:rsidR="00170CB6">
        <w:rPr>
          <w:spacing w:val="-3"/>
        </w:rPr>
        <w:t xml:space="preserve"> de 24 de julio de 1889, </w:t>
      </w:r>
      <w:r w:rsidR="00CC030A">
        <w:rPr>
          <w:spacing w:val="-3"/>
        </w:rPr>
        <w:t xml:space="preserve">que </w:t>
      </w:r>
      <w:r w:rsidR="00B4205A" w:rsidRPr="00B4205A">
        <w:rPr>
          <w:spacing w:val="-3"/>
        </w:rPr>
        <w:t>con referencia a determinados bienes inmuebles</w:t>
      </w:r>
      <w:r w:rsidR="00CC030A">
        <w:rPr>
          <w:spacing w:val="-3"/>
        </w:rPr>
        <w:t xml:space="preserve"> del deudor</w:t>
      </w:r>
      <w:r w:rsidR="00B4205A" w:rsidRPr="00B4205A">
        <w:rPr>
          <w:spacing w:val="-3"/>
        </w:rPr>
        <w:t xml:space="preserve"> concede preferencia a “</w:t>
      </w:r>
      <w:r w:rsidR="00CC030A">
        <w:rPr>
          <w:spacing w:val="-3"/>
        </w:rPr>
        <w:t>l</w:t>
      </w:r>
      <w:r w:rsidR="00B4205A" w:rsidRPr="00B4205A">
        <w:rPr>
          <w:spacing w:val="-3"/>
        </w:rPr>
        <w:t>os créditos preventivamente anotados en el Registro de la Propiedad, en virtud de mandamiento judicial, por embargos, secuestros o ejecución de sentencias</w:t>
      </w:r>
      <w:r w:rsidR="00CC030A">
        <w:rPr>
          <w:spacing w:val="-3"/>
        </w:rPr>
        <w:t>,</w:t>
      </w:r>
      <w:r w:rsidR="00B4205A" w:rsidRPr="00B4205A">
        <w:rPr>
          <w:spacing w:val="-3"/>
        </w:rPr>
        <w:t xml:space="preserve"> sobre los bienes anotados, y sólo en cuanto a créditos posteriores</w:t>
      </w:r>
      <w:r w:rsidR="00CC030A">
        <w:rPr>
          <w:spacing w:val="-3"/>
        </w:rPr>
        <w:t>”</w:t>
      </w:r>
      <w:r w:rsidR="00B4205A" w:rsidRPr="00B4205A">
        <w:rPr>
          <w:spacing w:val="-3"/>
        </w:rPr>
        <w:t>.</w:t>
      </w:r>
    </w:p>
    <w:p w14:paraId="7C7093BD" w14:textId="10E320A3" w:rsidR="00B4205A" w:rsidRPr="00B4205A" w:rsidRDefault="00011728" w:rsidP="00B4205A">
      <w:pPr>
        <w:spacing w:before="120" w:after="120" w:line="360" w:lineRule="auto"/>
        <w:ind w:firstLine="708"/>
        <w:jc w:val="both"/>
        <w:rPr>
          <w:spacing w:val="-3"/>
        </w:rPr>
      </w:pPr>
      <w:r>
        <w:rPr>
          <w:spacing w:val="-3"/>
        </w:rPr>
        <w:t xml:space="preserve">Por ende, </w:t>
      </w:r>
      <w:r w:rsidR="00B4205A" w:rsidRPr="00B4205A">
        <w:rPr>
          <w:spacing w:val="-3"/>
        </w:rPr>
        <w:t>la anotación preventiva de embargo sólo sur</w:t>
      </w:r>
      <w:r w:rsidR="002367C9">
        <w:rPr>
          <w:spacing w:val="-3"/>
        </w:rPr>
        <w:t>te</w:t>
      </w:r>
      <w:r w:rsidR="00B4205A" w:rsidRPr="00B4205A">
        <w:rPr>
          <w:spacing w:val="-3"/>
        </w:rPr>
        <w:t xml:space="preserve"> efectos respecto de los actos dispositivos o créditos contraídos con posterioridad a la anotación, pero no respecto de los anteriores a la </w:t>
      </w:r>
      <w:r w:rsidR="002F7B2B">
        <w:rPr>
          <w:spacing w:val="-3"/>
        </w:rPr>
        <w:t>anotación</w:t>
      </w:r>
      <w:r w:rsidR="00B4205A" w:rsidRPr="00B4205A">
        <w:rPr>
          <w:spacing w:val="-3"/>
        </w:rPr>
        <w:t xml:space="preserve"> aunque </w:t>
      </w:r>
      <w:r w:rsidR="002F7B2B">
        <w:rPr>
          <w:spacing w:val="-3"/>
        </w:rPr>
        <w:t>accedan</w:t>
      </w:r>
      <w:r w:rsidR="00B4205A" w:rsidRPr="00B4205A">
        <w:rPr>
          <w:spacing w:val="-3"/>
        </w:rPr>
        <w:t xml:space="preserve"> con posterioridad al Registro.</w:t>
      </w:r>
    </w:p>
    <w:p w14:paraId="17083EE6" w14:textId="6D809E58" w:rsidR="00B4205A" w:rsidRPr="00B4205A" w:rsidRDefault="002F7B2B" w:rsidP="00B4205A">
      <w:pPr>
        <w:spacing w:before="120" w:after="120" w:line="360" w:lineRule="auto"/>
        <w:ind w:firstLine="708"/>
        <w:jc w:val="both"/>
        <w:rPr>
          <w:spacing w:val="-3"/>
        </w:rPr>
      </w:pPr>
      <w:r>
        <w:rPr>
          <w:spacing w:val="-3"/>
        </w:rPr>
        <w:t xml:space="preserve">Además, el artículo 175 del Reglamento Hipotecario dispone que </w:t>
      </w:r>
      <w:r w:rsidR="00B4205A" w:rsidRPr="00B4205A">
        <w:rPr>
          <w:spacing w:val="-3"/>
        </w:rPr>
        <w:t>“</w:t>
      </w:r>
      <w:r>
        <w:rPr>
          <w:spacing w:val="-3"/>
        </w:rPr>
        <w:t>c</w:t>
      </w:r>
      <w:r w:rsidR="00B4205A" w:rsidRPr="00B4205A">
        <w:rPr>
          <w:spacing w:val="-3"/>
        </w:rPr>
        <w:t>uando en virtud del procedimiento de apremio contra bienes inmuebles se enajene judicialmente la finca o derecho embargado, se cancelarán las inscripciones y anotaciones posteriores a la correspondiente anotación de embargo aunque se refieran a enajenaciones o gravámenes anteriores y siempre que no estén basadas en derechos inscritos o anotados con anterioridad a la anotación del embargo y no afectados por ésta”.</w:t>
      </w:r>
    </w:p>
    <w:p w14:paraId="59104711" w14:textId="3D1D260F" w:rsidR="00B4205A" w:rsidRPr="00B4205A" w:rsidRDefault="00711FCF" w:rsidP="00B4205A">
      <w:pPr>
        <w:spacing w:before="120" w:after="120" w:line="360" w:lineRule="auto"/>
        <w:ind w:firstLine="708"/>
        <w:jc w:val="both"/>
        <w:rPr>
          <w:spacing w:val="-3"/>
        </w:rPr>
      </w:pPr>
      <w:r>
        <w:rPr>
          <w:spacing w:val="-3"/>
        </w:rPr>
        <w:t xml:space="preserve">Por ende, </w:t>
      </w:r>
      <w:r w:rsidR="00B4205A" w:rsidRPr="00B4205A">
        <w:rPr>
          <w:spacing w:val="-3"/>
        </w:rPr>
        <w:t>el acreedor o adquirente anterior al que ha obtenido la anotación deberá acudir a la tercería de dominio o mejor derecho para tutelar su derecho</w:t>
      </w:r>
      <w:r>
        <w:rPr>
          <w:spacing w:val="-3"/>
        </w:rPr>
        <w:t>, so pena de que</w:t>
      </w:r>
      <w:r w:rsidR="00B4205A" w:rsidRPr="00B4205A">
        <w:rPr>
          <w:spacing w:val="-3"/>
        </w:rPr>
        <w:t xml:space="preserve"> cuando se enajene judicialmente el bien embargado </w:t>
      </w:r>
      <w:r w:rsidR="0099529E" w:rsidRPr="00B4205A">
        <w:rPr>
          <w:spacing w:val="-3"/>
        </w:rPr>
        <w:t>se cancel</w:t>
      </w:r>
      <w:r w:rsidR="0099529E">
        <w:rPr>
          <w:spacing w:val="-3"/>
        </w:rPr>
        <w:t>e</w:t>
      </w:r>
      <w:r w:rsidR="0099529E" w:rsidRPr="00B4205A">
        <w:rPr>
          <w:spacing w:val="-3"/>
        </w:rPr>
        <w:t xml:space="preserve"> </w:t>
      </w:r>
      <w:r w:rsidR="002C21EB">
        <w:rPr>
          <w:spacing w:val="-3"/>
        </w:rPr>
        <w:t xml:space="preserve">la </w:t>
      </w:r>
      <w:r w:rsidR="0099529E" w:rsidRPr="00B4205A">
        <w:rPr>
          <w:spacing w:val="-3"/>
        </w:rPr>
        <w:t>inscripci</w:t>
      </w:r>
      <w:r w:rsidR="002C21EB">
        <w:rPr>
          <w:spacing w:val="-3"/>
        </w:rPr>
        <w:t>ón</w:t>
      </w:r>
      <w:r w:rsidR="0099529E" w:rsidRPr="00B4205A">
        <w:rPr>
          <w:spacing w:val="-3"/>
        </w:rPr>
        <w:t xml:space="preserve"> </w:t>
      </w:r>
      <w:r w:rsidR="002C21EB">
        <w:rPr>
          <w:spacing w:val="-3"/>
        </w:rPr>
        <w:t>o</w:t>
      </w:r>
      <w:r w:rsidR="0099529E" w:rsidRPr="00B4205A">
        <w:rPr>
          <w:spacing w:val="-3"/>
        </w:rPr>
        <w:t xml:space="preserve"> anotaci</w:t>
      </w:r>
      <w:r w:rsidR="002C21EB">
        <w:rPr>
          <w:spacing w:val="-3"/>
        </w:rPr>
        <w:t>ón</w:t>
      </w:r>
      <w:r w:rsidR="0099529E" w:rsidRPr="00B4205A">
        <w:rPr>
          <w:spacing w:val="-3"/>
        </w:rPr>
        <w:t xml:space="preserve"> </w:t>
      </w:r>
      <w:r w:rsidR="002C21EB">
        <w:rPr>
          <w:spacing w:val="-3"/>
        </w:rPr>
        <w:t>en su favor.</w:t>
      </w: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5150FE38" w14:textId="77777777" w:rsidR="005C7E2A" w:rsidRPr="005C7E2A" w:rsidRDefault="005C7E2A" w:rsidP="005C7E2A">
      <w:pPr>
        <w:spacing w:before="120" w:after="120" w:line="360" w:lineRule="auto"/>
        <w:ind w:firstLine="708"/>
        <w:jc w:val="right"/>
        <w:rPr>
          <w:spacing w:val="-3"/>
        </w:rPr>
      </w:pPr>
      <w:r w:rsidRPr="005C7E2A">
        <w:rPr>
          <w:spacing w:val="-3"/>
        </w:rPr>
        <w:t>27 de agosto de 2024</w:t>
      </w:r>
    </w:p>
    <w:sectPr w:rsidR="005C7E2A" w:rsidRPr="005C7E2A">
      <w:headerReference w:type="even" r:id="rId8"/>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AFAAF" w14:textId="77777777" w:rsidR="00975B9A" w:rsidRDefault="00975B9A" w:rsidP="00DB250B">
      <w:r>
        <w:separator/>
      </w:r>
    </w:p>
  </w:endnote>
  <w:endnote w:type="continuationSeparator" w:id="0">
    <w:p w14:paraId="40467529" w14:textId="77777777" w:rsidR="00975B9A" w:rsidRDefault="00975B9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009E" w14:textId="48F46986" w:rsidR="0094606F" w:rsidRDefault="0094606F">
    <w:pPr>
      <w:pStyle w:val="Piedepgina"/>
    </w:pPr>
  </w:p>
  <w:p w14:paraId="6E867332" w14:textId="77777777" w:rsidR="009328BF" w:rsidRDefault="009328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7C07BE43" w14:textId="2410999B" w:rsidR="009328BF" w:rsidRDefault="001E237F" w:rsidP="005C7E2A">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D81CD" w14:textId="77777777" w:rsidR="00975B9A" w:rsidRDefault="00975B9A" w:rsidP="00DB250B">
      <w:r>
        <w:separator/>
      </w:r>
    </w:p>
  </w:footnote>
  <w:footnote w:type="continuationSeparator" w:id="0">
    <w:p w14:paraId="391B5F14" w14:textId="77777777" w:rsidR="00975B9A" w:rsidRDefault="00975B9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DB468" w14:textId="356CEA89" w:rsidR="0094606F" w:rsidRDefault="0094606F">
    <w:pPr>
      <w:pStyle w:val="Encabezado"/>
    </w:pPr>
  </w:p>
  <w:p w14:paraId="696DC8B8" w14:textId="77777777" w:rsidR="009328BF" w:rsidRDefault="009328B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ED843" w14:textId="4DC720F7" w:rsidR="009328BF" w:rsidRDefault="0094606F" w:rsidP="005C7E2A">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F3638B"/>
    <w:multiLevelType w:val="hybridMultilevel"/>
    <w:tmpl w:val="463E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A655A"/>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9FC404E"/>
    <w:multiLevelType w:val="hybridMultilevel"/>
    <w:tmpl w:val="678E4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451123"/>
    <w:multiLevelType w:val="hybridMultilevel"/>
    <w:tmpl w:val="3A0661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C9526FB"/>
    <w:multiLevelType w:val="hybridMultilevel"/>
    <w:tmpl w:val="48AC4C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6B02F6F"/>
    <w:multiLevelType w:val="hybridMultilevel"/>
    <w:tmpl w:val="E66C77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7463310"/>
    <w:multiLevelType w:val="hybridMultilevel"/>
    <w:tmpl w:val="72AA47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D1749B9"/>
    <w:multiLevelType w:val="hybridMultilevel"/>
    <w:tmpl w:val="FD7C3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08C73DC"/>
    <w:multiLevelType w:val="hybridMultilevel"/>
    <w:tmpl w:val="08FCEA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0A00E60"/>
    <w:multiLevelType w:val="hybridMultilevel"/>
    <w:tmpl w:val="463A7F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20D3540"/>
    <w:multiLevelType w:val="hybridMultilevel"/>
    <w:tmpl w:val="136ECE2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7A248AE"/>
    <w:multiLevelType w:val="hybridMultilevel"/>
    <w:tmpl w:val="0C7E92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D981791"/>
    <w:multiLevelType w:val="hybridMultilevel"/>
    <w:tmpl w:val="A650DF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3C873CC"/>
    <w:multiLevelType w:val="multilevel"/>
    <w:tmpl w:val="B7085B2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57617CBF"/>
    <w:multiLevelType w:val="hybridMultilevel"/>
    <w:tmpl w:val="0A3049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76C0A23"/>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B12065"/>
    <w:multiLevelType w:val="hybridMultilevel"/>
    <w:tmpl w:val="E53A67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E0243F0"/>
    <w:multiLevelType w:val="hybridMultilevel"/>
    <w:tmpl w:val="228CD8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3A623DA"/>
    <w:multiLevelType w:val="hybridMultilevel"/>
    <w:tmpl w:val="16A4F9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3" w15:restartNumberingAfterBreak="0">
    <w:nsid w:val="741F2448"/>
    <w:multiLevelType w:val="hybridMultilevel"/>
    <w:tmpl w:val="35F2F0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B996F29"/>
    <w:multiLevelType w:val="hybridMultilevel"/>
    <w:tmpl w:val="9B045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094469352">
    <w:abstractNumId w:val="0"/>
  </w:num>
  <w:num w:numId="2" w16cid:durableId="496657755">
    <w:abstractNumId w:val="6"/>
  </w:num>
  <w:num w:numId="3" w16cid:durableId="1721243596">
    <w:abstractNumId w:val="10"/>
  </w:num>
  <w:num w:numId="4" w16cid:durableId="1256867264">
    <w:abstractNumId w:val="7"/>
  </w:num>
  <w:num w:numId="5" w16cid:durableId="1286545862">
    <w:abstractNumId w:val="22"/>
  </w:num>
  <w:num w:numId="6" w16cid:durableId="393433858">
    <w:abstractNumId w:val="9"/>
  </w:num>
  <w:num w:numId="7" w16cid:durableId="403262106">
    <w:abstractNumId w:val="21"/>
  </w:num>
  <w:num w:numId="8" w16cid:durableId="1013410492">
    <w:abstractNumId w:val="3"/>
  </w:num>
  <w:num w:numId="9" w16cid:durableId="971793578">
    <w:abstractNumId w:val="31"/>
  </w:num>
  <w:num w:numId="10" w16cid:durableId="1745688926">
    <w:abstractNumId w:val="29"/>
  </w:num>
  <w:num w:numId="11" w16cid:durableId="829102221">
    <w:abstractNumId w:val="19"/>
  </w:num>
  <w:num w:numId="12" w16cid:durableId="1634872636">
    <w:abstractNumId w:val="17"/>
  </w:num>
  <w:num w:numId="13" w16cid:durableId="557791553">
    <w:abstractNumId w:val="14"/>
  </w:num>
  <w:num w:numId="14" w16cid:durableId="256132672">
    <w:abstractNumId w:val="32"/>
  </w:num>
  <w:num w:numId="15" w16cid:durableId="216431772">
    <w:abstractNumId w:val="24"/>
  </w:num>
  <w:num w:numId="16" w16cid:durableId="2093549215">
    <w:abstractNumId w:val="12"/>
  </w:num>
  <w:num w:numId="17" w16cid:durableId="411512073">
    <w:abstractNumId w:val="5"/>
  </w:num>
  <w:num w:numId="18" w16cid:durableId="172845335">
    <w:abstractNumId w:val="20"/>
  </w:num>
  <w:num w:numId="19" w16cid:durableId="1839533983">
    <w:abstractNumId w:val="15"/>
  </w:num>
  <w:num w:numId="20" w16cid:durableId="1758166865">
    <w:abstractNumId w:val="16"/>
  </w:num>
  <w:num w:numId="21" w16cid:durableId="276064709">
    <w:abstractNumId w:val="2"/>
  </w:num>
  <w:num w:numId="22" w16cid:durableId="1735349493">
    <w:abstractNumId w:val="23"/>
  </w:num>
  <w:num w:numId="23" w16cid:durableId="122888636">
    <w:abstractNumId w:val="26"/>
  </w:num>
  <w:num w:numId="24" w16cid:durableId="1644383514">
    <w:abstractNumId w:val="1"/>
  </w:num>
  <w:num w:numId="25" w16cid:durableId="1019697198">
    <w:abstractNumId w:val="33"/>
  </w:num>
  <w:num w:numId="26" w16cid:durableId="1234269222">
    <w:abstractNumId w:val="8"/>
  </w:num>
  <w:num w:numId="27" w16cid:durableId="2054697045">
    <w:abstractNumId w:val="28"/>
  </w:num>
  <w:num w:numId="28" w16cid:durableId="1285116516">
    <w:abstractNumId w:val="13"/>
  </w:num>
  <w:num w:numId="29" w16cid:durableId="1861039928">
    <w:abstractNumId w:val="30"/>
  </w:num>
  <w:num w:numId="30" w16cid:durableId="1323119414">
    <w:abstractNumId w:val="34"/>
  </w:num>
  <w:num w:numId="31" w16cid:durableId="1837262555">
    <w:abstractNumId w:val="11"/>
  </w:num>
  <w:num w:numId="32" w16cid:durableId="2097824827">
    <w:abstractNumId w:val="25"/>
  </w:num>
  <w:num w:numId="33" w16cid:durableId="1601110809">
    <w:abstractNumId w:val="4"/>
  </w:num>
  <w:num w:numId="34" w16cid:durableId="112137247">
    <w:abstractNumId w:val="18"/>
  </w:num>
  <w:num w:numId="35" w16cid:durableId="942349129">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A2"/>
    <w:rsid w:val="000062B4"/>
    <w:rsid w:val="0000678D"/>
    <w:rsid w:val="00006A81"/>
    <w:rsid w:val="00006D58"/>
    <w:rsid w:val="000074F6"/>
    <w:rsid w:val="00007695"/>
    <w:rsid w:val="0000771D"/>
    <w:rsid w:val="00007DDA"/>
    <w:rsid w:val="00010934"/>
    <w:rsid w:val="00010BBA"/>
    <w:rsid w:val="00010C21"/>
    <w:rsid w:val="00010E6C"/>
    <w:rsid w:val="000114C3"/>
    <w:rsid w:val="00011728"/>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5A7"/>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1E6"/>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9FC"/>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306"/>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0819"/>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AC"/>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9E7"/>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1F"/>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CB6"/>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8F"/>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4E23"/>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0D74"/>
    <w:rsid w:val="001B1701"/>
    <w:rsid w:val="001B17F8"/>
    <w:rsid w:val="001B19EF"/>
    <w:rsid w:val="001B1CFF"/>
    <w:rsid w:val="001B25E6"/>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7D"/>
    <w:rsid w:val="001D15F8"/>
    <w:rsid w:val="001D1770"/>
    <w:rsid w:val="001D1A52"/>
    <w:rsid w:val="001D1C38"/>
    <w:rsid w:val="001D1D0F"/>
    <w:rsid w:val="001D1EAD"/>
    <w:rsid w:val="001D1EE3"/>
    <w:rsid w:val="001D22AC"/>
    <w:rsid w:val="001D23DF"/>
    <w:rsid w:val="001D24C3"/>
    <w:rsid w:val="001D3044"/>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6EEB"/>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C36"/>
    <w:rsid w:val="001E4CC2"/>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36E"/>
    <w:rsid w:val="00202845"/>
    <w:rsid w:val="00202B7F"/>
    <w:rsid w:val="00203A7A"/>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2F50"/>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CB3"/>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17C"/>
    <w:rsid w:val="002367C9"/>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D31"/>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37D"/>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3F6E"/>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3CC"/>
    <w:rsid w:val="002C15F8"/>
    <w:rsid w:val="002C19F5"/>
    <w:rsid w:val="002C212C"/>
    <w:rsid w:val="002C21EB"/>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BEF"/>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B2B"/>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7D9"/>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64B"/>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2DA"/>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5B"/>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A8E"/>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84B"/>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6F2A"/>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592"/>
    <w:rsid w:val="0047184B"/>
    <w:rsid w:val="00471916"/>
    <w:rsid w:val="00471FF0"/>
    <w:rsid w:val="004725EE"/>
    <w:rsid w:val="00472960"/>
    <w:rsid w:val="00472DDD"/>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E3"/>
    <w:rsid w:val="00481DA4"/>
    <w:rsid w:val="00482100"/>
    <w:rsid w:val="0048256B"/>
    <w:rsid w:val="00482847"/>
    <w:rsid w:val="00482B08"/>
    <w:rsid w:val="004830A1"/>
    <w:rsid w:val="00483A0F"/>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994"/>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12D2"/>
    <w:rsid w:val="004D1A34"/>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BAA"/>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85A"/>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E00"/>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79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01"/>
    <w:rsid w:val="00546F7E"/>
    <w:rsid w:val="0054717A"/>
    <w:rsid w:val="005474A5"/>
    <w:rsid w:val="00550003"/>
    <w:rsid w:val="005503E6"/>
    <w:rsid w:val="0055049A"/>
    <w:rsid w:val="00550659"/>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569"/>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C7E2A"/>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6957"/>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532"/>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C5C"/>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C1C"/>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0A0D"/>
    <w:rsid w:val="00671373"/>
    <w:rsid w:val="00671A79"/>
    <w:rsid w:val="00671AD6"/>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21B1"/>
    <w:rsid w:val="006B2313"/>
    <w:rsid w:val="006B24DC"/>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038"/>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1FCF"/>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D2"/>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37A54"/>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83A"/>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47D9D"/>
    <w:rsid w:val="00750881"/>
    <w:rsid w:val="00750C2C"/>
    <w:rsid w:val="00750E55"/>
    <w:rsid w:val="00750E5D"/>
    <w:rsid w:val="00751119"/>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DD4"/>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0E3"/>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7DE"/>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66F"/>
    <w:rsid w:val="00803B34"/>
    <w:rsid w:val="00803CFB"/>
    <w:rsid w:val="00803D9F"/>
    <w:rsid w:val="0080405E"/>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0DB"/>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C95"/>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1DD5"/>
    <w:rsid w:val="00862781"/>
    <w:rsid w:val="00862B5F"/>
    <w:rsid w:val="008630DD"/>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2EED"/>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0E0"/>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36B"/>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0D6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9E1"/>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8BF"/>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4B"/>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5B9A"/>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3CF9"/>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9038B"/>
    <w:rsid w:val="009904A1"/>
    <w:rsid w:val="0099058A"/>
    <w:rsid w:val="00990DDA"/>
    <w:rsid w:val="00991068"/>
    <w:rsid w:val="00991A0A"/>
    <w:rsid w:val="0099237C"/>
    <w:rsid w:val="009926C9"/>
    <w:rsid w:val="009935B6"/>
    <w:rsid w:val="009935BF"/>
    <w:rsid w:val="009937C9"/>
    <w:rsid w:val="0099385B"/>
    <w:rsid w:val="00993FF0"/>
    <w:rsid w:val="00993FFE"/>
    <w:rsid w:val="009941B1"/>
    <w:rsid w:val="009942A0"/>
    <w:rsid w:val="00994C54"/>
    <w:rsid w:val="00994F44"/>
    <w:rsid w:val="0099524B"/>
    <w:rsid w:val="0099529E"/>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1200"/>
    <w:rsid w:val="009E18B5"/>
    <w:rsid w:val="009E18C5"/>
    <w:rsid w:val="009E2464"/>
    <w:rsid w:val="009E2A62"/>
    <w:rsid w:val="009E351B"/>
    <w:rsid w:val="009E3ACF"/>
    <w:rsid w:val="009E3CF6"/>
    <w:rsid w:val="009E3F39"/>
    <w:rsid w:val="009E403E"/>
    <w:rsid w:val="009E40E8"/>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C3F"/>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29D"/>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FC"/>
    <w:rsid w:val="00A63CD2"/>
    <w:rsid w:val="00A63D28"/>
    <w:rsid w:val="00A63F4C"/>
    <w:rsid w:val="00A640BF"/>
    <w:rsid w:val="00A64AB0"/>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0F0"/>
    <w:rsid w:val="00A942F6"/>
    <w:rsid w:val="00A9481D"/>
    <w:rsid w:val="00A94A37"/>
    <w:rsid w:val="00A94A62"/>
    <w:rsid w:val="00A950A5"/>
    <w:rsid w:val="00A955EA"/>
    <w:rsid w:val="00A95A1F"/>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DDC"/>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014"/>
    <w:rsid w:val="00AC0648"/>
    <w:rsid w:val="00AC07A6"/>
    <w:rsid w:val="00AC085D"/>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1A6"/>
    <w:rsid w:val="00AF320A"/>
    <w:rsid w:val="00AF35C0"/>
    <w:rsid w:val="00AF3B78"/>
    <w:rsid w:val="00AF43F7"/>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A11"/>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05A"/>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6F35"/>
    <w:rsid w:val="00B7716B"/>
    <w:rsid w:val="00B77308"/>
    <w:rsid w:val="00B7736C"/>
    <w:rsid w:val="00B773A9"/>
    <w:rsid w:val="00B7788A"/>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9A0"/>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312"/>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A42"/>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04"/>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4DE1"/>
    <w:rsid w:val="00C250C0"/>
    <w:rsid w:val="00C25499"/>
    <w:rsid w:val="00C254E5"/>
    <w:rsid w:val="00C255E8"/>
    <w:rsid w:val="00C25E6A"/>
    <w:rsid w:val="00C26312"/>
    <w:rsid w:val="00C2692F"/>
    <w:rsid w:val="00C26A59"/>
    <w:rsid w:val="00C26BFB"/>
    <w:rsid w:val="00C26DB3"/>
    <w:rsid w:val="00C26F94"/>
    <w:rsid w:val="00C279C3"/>
    <w:rsid w:val="00C27B0E"/>
    <w:rsid w:val="00C27FBA"/>
    <w:rsid w:val="00C3065F"/>
    <w:rsid w:val="00C30E8E"/>
    <w:rsid w:val="00C31404"/>
    <w:rsid w:val="00C31528"/>
    <w:rsid w:val="00C3171A"/>
    <w:rsid w:val="00C31B1A"/>
    <w:rsid w:val="00C31E87"/>
    <w:rsid w:val="00C325DE"/>
    <w:rsid w:val="00C327E7"/>
    <w:rsid w:val="00C334EF"/>
    <w:rsid w:val="00C335FB"/>
    <w:rsid w:val="00C33869"/>
    <w:rsid w:val="00C33DE3"/>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421"/>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324"/>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3E35"/>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4"/>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145"/>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B7FAF"/>
    <w:rsid w:val="00CC018D"/>
    <w:rsid w:val="00CC01ED"/>
    <w:rsid w:val="00CC030A"/>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1BA"/>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0A79"/>
    <w:rsid w:val="00D81391"/>
    <w:rsid w:val="00D816D1"/>
    <w:rsid w:val="00D817AA"/>
    <w:rsid w:val="00D8188D"/>
    <w:rsid w:val="00D81A20"/>
    <w:rsid w:val="00D81BFA"/>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BD9"/>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3C2A"/>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2FDA"/>
    <w:rsid w:val="00E0319C"/>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893"/>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42A"/>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846"/>
    <w:rsid w:val="00E43CB1"/>
    <w:rsid w:val="00E43E44"/>
    <w:rsid w:val="00E440C2"/>
    <w:rsid w:val="00E44390"/>
    <w:rsid w:val="00E44A27"/>
    <w:rsid w:val="00E4573B"/>
    <w:rsid w:val="00E4577E"/>
    <w:rsid w:val="00E45DBD"/>
    <w:rsid w:val="00E463D3"/>
    <w:rsid w:val="00E464DD"/>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700"/>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7A"/>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6B9"/>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CD"/>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7"/>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4BC8"/>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8F4"/>
    <w:rsid w:val="00F43E10"/>
    <w:rsid w:val="00F43ED4"/>
    <w:rsid w:val="00F44039"/>
    <w:rsid w:val="00F4406C"/>
    <w:rsid w:val="00F44490"/>
    <w:rsid w:val="00F44691"/>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BEA"/>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D40"/>
    <w:rsid w:val="00F77E0A"/>
    <w:rsid w:val="00F80271"/>
    <w:rsid w:val="00F802DC"/>
    <w:rsid w:val="00F81B07"/>
    <w:rsid w:val="00F81DEC"/>
    <w:rsid w:val="00F82546"/>
    <w:rsid w:val="00F828E0"/>
    <w:rsid w:val="00F82DE1"/>
    <w:rsid w:val="00F82E9C"/>
    <w:rsid w:val="00F8301C"/>
    <w:rsid w:val="00F8341D"/>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1CE"/>
    <w:rsid w:val="00FB12DE"/>
    <w:rsid w:val="00FB1314"/>
    <w:rsid w:val="00FB1A01"/>
    <w:rsid w:val="00FB1F1B"/>
    <w:rsid w:val="00FB212C"/>
    <w:rsid w:val="00FB2C32"/>
    <w:rsid w:val="00FB3167"/>
    <w:rsid w:val="00FB4825"/>
    <w:rsid w:val="00FB5923"/>
    <w:rsid w:val="00FB596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839"/>
    <w:rsid w:val="00FC79A0"/>
    <w:rsid w:val="00FC79B3"/>
    <w:rsid w:val="00FC7B4C"/>
    <w:rsid w:val="00FC7C07"/>
    <w:rsid w:val="00FC7CF9"/>
    <w:rsid w:val="00FC7F2D"/>
    <w:rsid w:val="00FD023A"/>
    <w:rsid w:val="00FD0512"/>
    <w:rsid w:val="00FD09BD"/>
    <w:rsid w:val="00FD0C70"/>
    <w:rsid w:val="00FD1876"/>
    <w:rsid w:val="00FD18D4"/>
    <w:rsid w:val="00FD2370"/>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5BC"/>
    <w:rsid w:val="00FD76D4"/>
    <w:rsid w:val="00FD76FD"/>
    <w:rsid w:val="00FD7798"/>
    <w:rsid w:val="00FD7805"/>
    <w:rsid w:val="00FD7E9E"/>
    <w:rsid w:val="00FE0260"/>
    <w:rsid w:val="00FE0285"/>
    <w:rsid w:val="00FE052C"/>
    <w:rsid w:val="00FE0A10"/>
    <w:rsid w:val="00FE1091"/>
    <w:rsid w:val="00FE11B4"/>
    <w:rsid w:val="00FE1861"/>
    <w:rsid w:val="00FE1B53"/>
    <w:rsid w:val="00FE1CA4"/>
    <w:rsid w:val="00FE1EE2"/>
    <w:rsid w:val="00FE21E8"/>
    <w:rsid w:val="00FE2314"/>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DAD"/>
    <w:rsid w:val="00FF3E51"/>
    <w:rsid w:val="00FF406E"/>
    <w:rsid w:val="00FF49DC"/>
    <w:rsid w:val="00FF4F23"/>
    <w:rsid w:val="00FF4F31"/>
    <w:rsid w:val="00FF51B8"/>
    <w:rsid w:val="00FF51C9"/>
    <w:rsid w:val="00FF52CA"/>
    <w:rsid w:val="00FF5F78"/>
    <w:rsid w:val="00FF613B"/>
    <w:rsid w:val="00FF6473"/>
    <w:rsid w:val="00FF68CD"/>
    <w:rsid w:val="00FF699F"/>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0612306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17110075">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2474</TotalTime>
  <Pages>6</Pages>
  <Words>1829</Words>
  <Characters>10064</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131</cp:revision>
  <dcterms:created xsi:type="dcterms:W3CDTF">2022-05-18T18:44:00Z</dcterms:created>
  <dcterms:modified xsi:type="dcterms:W3CDTF">2024-08-27T08:25:00Z</dcterms:modified>
</cp:coreProperties>
</file>