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17F4717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6194D">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01BB188" w:rsidR="003A564C" w:rsidRPr="005164AA" w:rsidRDefault="00A6194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r w:rsidRPr="00A6194D">
        <w:rPr>
          <w:b/>
          <w:bCs/>
          <w:color w:val="000000"/>
          <w:sz w:val="28"/>
          <w:szCs w:val="28"/>
        </w:rPr>
        <w:t xml:space="preserve">LA POSESIÓN Y EL REGISTRO DE LA PROPIEDAD. LA PRESCRIPCIÓN EN RELACIÓN CON EL REGISTRO. </w:t>
      </w:r>
      <w:bookmarkStart w:id="6" w:name="_Hlk95809362"/>
      <w:r w:rsidRPr="00A6194D">
        <w:rPr>
          <w:b/>
          <w:bCs/>
          <w:color w:val="000000"/>
          <w:sz w:val="28"/>
          <w:szCs w:val="28"/>
        </w:rPr>
        <w:t>LAS PROHIBICIONES DE DISPONER. EXAMEN DE LOS ARTÍCULOS 26 Y 27 DE LA LEY</w:t>
      </w:r>
      <w:r w:rsidRPr="00AE75DF">
        <w:rPr>
          <w:b/>
          <w:bCs/>
          <w:color w:val="000000"/>
          <w:sz w:val="28"/>
          <w:szCs w:val="28"/>
        </w:rPr>
        <w:t>.</w:t>
      </w:r>
      <w:bookmarkEnd w:id="0"/>
      <w:bookmarkEnd w:id="1"/>
      <w:bookmarkEnd w:id="2"/>
      <w:bookmarkEnd w:id="3"/>
      <w:bookmarkEnd w:id="4"/>
      <w:bookmarkEnd w:id="5"/>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1850F1F5" w:rsidR="00C35A6D" w:rsidRPr="007B1C43" w:rsidRDefault="00A6194D" w:rsidP="00AB080F">
      <w:pPr>
        <w:spacing w:before="120" w:after="120" w:line="360" w:lineRule="auto"/>
        <w:jc w:val="both"/>
        <w:rPr>
          <w:spacing w:val="-3"/>
        </w:rPr>
      </w:pPr>
      <w:r w:rsidRPr="00A6194D">
        <w:rPr>
          <w:b/>
          <w:bCs/>
          <w:spacing w:val="-3"/>
        </w:rPr>
        <w:t>LA POSESIÓN Y EL REGISTRO DE LA PROPIEDAD</w:t>
      </w:r>
      <w:r w:rsidR="00AB080F" w:rsidRPr="00AB080F">
        <w:rPr>
          <w:b/>
          <w:bCs/>
          <w:spacing w:val="-3"/>
        </w:rPr>
        <w:t>.</w:t>
      </w:r>
    </w:p>
    <w:p w14:paraId="3CD25645" w14:textId="0927A580" w:rsidR="00D14282" w:rsidRPr="00FE75DF" w:rsidRDefault="0033407E" w:rsidP="00D14282">
      <w:pPr>
        <w:spacing w:before="120" w:after="120" w:line="360" w:lineRule="auto"/>
        <w:ind w:firstLine="708"/>
        <w:jc w:val="both"/>
        <w:rPr>
          <w:spacing w:val="-3"/>
        </w:rPr>
      </w:pPr>
      <w:r>
        <w:rPr>
          <w:spacing w:val="-3"/>
        </w:rPr>
        <w:t xml:space="preserve">La </w:t>
      </w:r>
      <w:r w:rsidR="00FE75DF" w:rsidRPr="00FE75DF">
        <w:rPr>
          <w:spacing w:val="-3"/>
        </w:rPr>
        <w:t>Ley Hipotecaria de 8 de febrero de 1946</w:t>
      </w:r>
      <w:r w:rsidR="0001467F">
        <w:rPr>
          <w:spacing w:val="-3"/>
        </w:rPr>
        <w:t xml:space="preserve"> no admite no admite </w:t>
      </w:r>
      <w:r w:rsidR="00FE75DF" w:rsidRPr="00FE75DF">
        <w:rPr>
          <w:spacing w:val="-3"/>
        </w:rPr>
        <w:t>las inscripciones de posesión</w:t>
      </w:r>
      <w:r w:rsidR="00D14282">
        <w:rPr>
          <w:spacing w:val="-3"/>
        </w:rPr>
        <w:t xml:space="preserve">, </w:t>
      </w:r>
      <w:r w:rsidR="009B1175">
        <w:rPr>
          <w:spacing w:val="-3"/>
        </w:rPr>
        <w:t>c</w:t>
      </w:r>
      <w:r w:rsidR="00D14282">
        <w:rPr>
          <w:spacing w:val="-3"/>
        </w:rPr>
        <w:t>omo resulta de los siguientes preceptos:</w:t>
      </w:r>
    </w:p>
    <w:p w14:paraId="6C44616A" w14:textId="4570B3A5" w:rsidR="00FE75DF" w:rsidRPr="00B176F4" w:rsidRDefault="00FE75DF" w:rsidP="00B176F4">
      <w:pPr>
        <w:pStyle w:val="Prrafodelista"/>
        <w:numPr>
          <w:ilvl w:val="0"/>
          <w:numId w:val="23"/>
        </w:numPr>
        <w:spacing w:before="120" w:after="120" w:line="360" w:lineRule="auto"/>
        <w:ind w:left="993" w:hanging="284"/>
        <w:jc w:val="both"/>
        <w:rPr>
          <w:spacing w:val="-3"/>
        </w:rPr>
      </w:pPr>
      <w:r w:rsidRPr="00B176F4">
        <w:rPr>
          <w:spacing w:val="-3"/>
        </w:rPr>
        <w:t xml:space="preserve">El artículo 5, que </w:t>
      </w:r>
      <w:r w:rsidR="00D14282" w:rsidRPr="00B176F4">
        <w:rPr>
          <w:spacing w:val="-3"/>
        </w:rPr>
        <w:t>dispone que “l</w:t>
      </w:r>
      <w:r w:rsidRPr="00B176F4">
        <w:rPr>
          <w:spacing w:val="-3"/>
        </w:rPr>
        <w:t>os títulos referentes al mero o simple hecho de poseer no serán inscribibles</w:t>
      </w:r>
      <w:r w:rsidR="00D14282" w:rsidRPr="00B176F4">
        <w:rPr>
          <w:spacing w:val="-3"/>
        </w:rPr>
        <w:t>”</w:t>
      </w:r>
      <w:r w:rsidRPr="00B176F4">
        <w:rPr>
          <w:spacing w:val="-3"/>
        </w:rPr>
        <w:t>.</w:t>
      </w:r>
    </w:p>
    <w:p w14:paraId="165A233C" w14:textId="36039166" w:rsidR="00FE75DF" w:rsidRPr="00B176F4" w:rsidRDefault="00FE75DF" w:rsidP="00B176F4">
      <w:pPr>
        <w:pStyle w:val="Prrafodelista"/>
        <w:numPr>
          <w:ilvl w:val="0"/>
          <w:numId w:val="23"/>
        </w:numPr>
        <w:spacing w:before="120" w:after="120" w:line="360" w:lineRule="auto"/>
        <w:ind w:left="993" w:hanging="284"/>
        <w:jc w:val="both"/>
        <w:rPr>
          <w:spacing w:val="-3"/>
        </w:rPr>
      </w:pPr>
      <w:r w:rsidRPr="00B176F4">
        <w:rPr>
          <w:spacing w:val="-3"/>
        </w:rPr>
        <w:t>El artículo 7</w:t>
      </w:r>
      <w:r w:rsidR="00D14282" w:rsidRPr="00B176F4">
        <w:rPr>
          <w:spacing w:val="-3"/>
        </w:rPr>
        <w:t>, que dispone que “l</w:t>
      </w:r>
      <w:r w:rsidRPr="00B176F4">
        <w:rPr>
          <w:spacing w:val="-3"/>
        </w:rPr>
        <w:t>a primera inscripción de cada finca en el Registro de la Propiedad será de dominio</w:t>
      </w:r>
      <w:r w:rsidR="00D14282" w:rsidRPr="00B176F4">
        <w:rPr>
          <w:spacing w:val="-3"/>
        </w:rPr>
        <w:t>”</w:t>
      </w:r>
      <w:r w:rsidR="009B1175">
        <w:rPr>
          <w:spacing w:val="-3"/>
        </w:rPr>
        <w:t xml:space="preserve">, </w:t>
      </w:r>
      <w:r w:rsidR="009B1175" w:rsidRPr="00E471C2">
        <w:rPr>
          <w:spacing w:val="-3"/>
        </w:rPr>
        <w:t>y no de posesión</w:t>
      </w:r>
      <w:r w:rsidR="00D14282" w:rsidRPr="00B176F4">
        <w:rPr>
          <w:spacing w:val="-3"/>
        </w:rPr>
        <w:t>.</w:t>
      </w:r>
    </w:p>
    <w:p w14:paraId="1B0674DD" w14:textId="4ADE4044" w:rsidR="00FE75DF" w:rsidRPr="00B176F4" w:rsidRDefault="00FE75DF" w:rsidP="00B176F4">
      <w:pPr>
        <w:pStyle w:val="Prrafodelista"/>
        <w:numPr>
          <w:ilvl w:val="0"/>
          <w:numId w:val="23"/>
        </w:numPr>
        <w:spacing w:before="120" w:after="120" w:line="360" w:lineRule="auto"/>
        <w:ind w:left="993" w:hanging="284"/>
        <w:jc w:val="both"/>
        <w:rPr>
          <w:spacing w:val="-3"/>
        </w:rPr>
      </w:pPr>
      <w:r w:rsidRPr="00B176F4">
        <w:rPr>
          <w:spacing w:val="-3"/>
        </w:rPr>
        <w:t>El artículo 20</w:t>
      </w:r>
      <w:r w:rsidR="00991068" w:rsidRPr="00B176F4">
        <w:rPr>
          <w:spacing w:val="-3"/>
        </w:rPr>
        <w:t>3</w:t>
      </w:r>
      <w:r w:rsidR="00D14282" w:rsidRPr="00B176F4">
        <w:rPr>
          <w:spacing w:val="-3"/>
        </w:rPr>
        <w:t xml:space="preserve">, que </w:t>
      </w:r>
      <w:r w:rsidR="00991068" w:rsidRPr="00B176F4">
        <w:rPr>
          <w:spacing w:val="-3"/>
        </w:rPr>
        <w:t>regula como medio de inmatriculación e</w:t>
      </w:r>
      <w:r w:rsidRPr="00B176F4">
        <w:rPr>
          <w:spacing w:val="-3"/>
        </w:rPr>
        <w:t>l expediente de dominio</w:t>
      </w:r>
      <w:r w:rsidR="009B1175">
        <w:rPr>
          <w:spacing w:val="-3"/>
        </w:rPr>
        <w:t>, pero no el de posesión.</w:t>
      </w:r>
    </w:p>
    <w:p w14:paraId="61BE0160" w14:textId="2E71DFAE" w:rsidR="00FE75DF" w:rsidRPr="00B176F4" w:rsidRDefault="00FE75DF" w:rsidP="00B176F4">
      <w:pPr>
        <w:pStyle w:val="Prrafodelista"/>
        <w:numPr>
          <w:ilvl w:val="0"/>
          <w:numId w:val="23"/>
        </w:numPr>
        <w:spacing w:before="120" w:after="120" w:line="360" w:lineRule="auto"/>
        <w:ind w:left="993" w:hanging="284"/>
        <w:jc w:val="both"/>
        <w:rPr>
          <w:spacing w:val="-3"/>
        </w:rPr>
      </w:pPr>
      <w:r w:rsidRPr="00B176F4">
        <w:rPr>
          <w:spacing w:val="-3"/>
        </w:rPr>
        <w:t>El art</w:t>
      </w:r>
      <w:r w:rsidR="00A763C3" w:rsidRPr="00B176F4">
        <w:rPr>
          <w:spacing w:val="-3"/>
        </w:rPr>
        <w:t>ículo</w:t>
      </w:r>
      <w:r w:rsidRPr="00B176F4">
        <w:rPr>
          <w:spacing w:val="-3"/>
        </w:rPr>
        <w:t xml:space="preserve"> 206</w:t>
      </w:r>
      <w:r w:rsidR="00A763C3" w:rsidRPr="00B176F4">
        <w:rPr>
          <w:spacing w:val="-3"/>
        </w:rPr>
        <w:t xml:space="preserve">, que prevé para </w:t>
      </w:r>
      <w:r w:rsidRPr="00B176F4">
        <w:rPr>
          <w:spacing w:val="-3"/>
        </w:rPr>
        <w:t>la inmatriculación de bienes de titularidad de las Administraciones Públicas la aportación de su título escrito de domini</w:t>
      </w:r>
      <w:r w:rsidR="00A763C3" w:rsidRPr="00B176F4">
        <w:rPr>
          <w:spacing w:val="-3"/>
        </w:rPr>
        <w:t>o.</w:t>
      </w:r>
    </w:p>
    <w:p w14:paraId="428A9708" w14:textId="1CFDD560" w:rsidR="00FE75DF" w:rsidRPr="00FE75DF" w:rsidRDefault="00FE75DF" w:rsidP="00FE75DF">
      <w:pPr>
        <w:spacing w:before="120" w:after="120" w:line="360" w:lineRule="auto"/>
        <w:ind w:firstLine="708"/>
        <w:jc w:val="both"/>
        <w:rPr>
          <w:spacing w:val="-3"/>
        </w:rPr>
      </w:pPr>
      <w:r w:rsidRPr="00FE75DF">
        <w:rPr>
          <w:spacing w:val="-3"/>
        </w:rPr>
        <w:t>Sin embargo, esta exclusión de la posesión del Registro de la Propiedad no es absoluta</w:t>
      </w:r>
      <w:r w:rsidR="0028750D">
        <w:rPr>
          <w:spacing w:val="-3"/>
        </w:rPr>
        <w:t xml:space="preserve">, ya que </w:t>
      </w:r>
      <w:r w:rsidRPr="00FE75DF">
        <w:rPr>
          <w:spacing w:val="-3"/>
        </w:rPr>
        <w:t xml:space="preserve">la </w:t>
      </w:r>
      <w:r w:rsidR="0028750D">
        <w:rPr>
          <w:spacing w:val="-3"/>
        </w:rPr>
        <w:t xml:space="preserve">posesión </w:t>
      </w:r>
      <w:r w:rsidRPr="00FE75DF">
        <w:rPr>
          <w:spacing w:val="-3"/>
        </w:rPr>
        <w:t>produce consecuencias jurídicas que afectan al ámbito</w:t>
      </w:r>
      <w:r w:rsidR="0028750D">
        <w:rPr>
          <w:spacing w:val="-3"/>
        </w:rPr>
        <w:t xml:space="preserve"> registral, como son </w:t>
      </w:r>
      <w:r w:rsidRPr="00FE75DF">
        <w:rPr>
          <w:spacing w:val="-3"/>
        </w:rPr>
        <w:t>las siguientes:</w:t>
      </w:r>
    </w:p>
    <w:p w14:paraId="59D0EFD6" w14:textId="70104B19" w:rsidR="00FE75DF" w:rsidRPr="009B1175" w:rsidRDefault="00FE75DF" w:rsidP="009B1175">
      <w:pPr>
        <w:pStyle w:val="Prrafodelista"/>
        <w:numPr>
          <w:ilvl w:val="0"/>
          <w:numId w:val="26"/>
        </w:numPr>
        <w:spacing w:before="120" w:after="120" w:line="360" w:lineRule="auto"/>
        <w:ind w:left="993" w:hanging="284"/>
        <w:jc w:val="both"/>
        <w:rPr>
          <w:spacing w:val="-3"/>
        </w:rPr>
      </w:pPr>
      <w:r w:rsidRPr="009B1175">
        <w:rPr>
          <w:spacing w:val="-3"/>
        </w:rPr>
        <w:t>La</w:t>
      </w:r>
      <w:r w:rsidR="009B1175">
        <w:rPr>
          <w:spacing w:val="-3"/>
        </w:rPr>
        <w:t xml:space="preserve"> prescripción</w:t>
      </w:r>
      <w:r w:rsidRPr="009B1175">
        <w:rPr>
          <w:spacing w:val="-3"/>
        </w:rPr>
        <w:t xml:space="preserve"> </w:t>
      </w:r>
      <w:r w:rsidR="00D84AB8" w:rsidRPr="009B1175">
        <w:rPr>
          <w:i/>
          <w:iCs/>
          <w:spacing w:val="-3"/>
        </w:rPr>
        <w:t>secundum tabulas</w:t>
      </w:r>
      <w:r w:rsidR="00D84AB8" w:rsidRPr="009B1175">
        <w:rPr>
          <w:spacing w:val="-3"/>
        </w:rPr>
        <w:t xml:space="preserve"> y </w:t>
      </w:r>
      <w:r w:rsidRPr="009B1175">
        <w:rPr>
          <w:i/>
          <w:iCs/>
          <w:spacing w:val="-3"/>
        </w:rPr>
        <w:t>contra t</w:t>
      </w:r>
      <w:r w:rsidR="00D84AB8" w:rsidRPr="009B1175">
        <w:rPr>
          <w:i/>
          <w:iCs/>
          <w:spacing w:val="-3"/>
        </w:rPr>
        <w:t>a</w:t>
      </w:r>
      <w:r w:rsidRPr="009B1175">
        <w:rPr>
          <w:i/>
          <w:iCs/>
          <w:spacing w:val="-3"/>
        </w:rPr>
        <w:t>bulas</w:t>
      </w:r>
      <w:r w:rsidRPr="009B1175">
        <w:rPr>
          <w:spacing w:val="-3"/>
        </w:rPr>
        <w:t xml:space="preserve">, que </w:t>
      </w:r>
      <w:r w:rsidR="00D84AB8" w:rsidRPr="009B1175">
        <w:rPr>
          <w:spacing w:val="-3"/>
        </w:rPr>
        <w:t>estudiaré posteriormente</w:t>
      </w:r>
      <w:r w:rsidRPr="009B1175">
        <w:rPr>
          <w:spacing w:val="-3"/>
        </w:rPr>
        <w:t>.</w:t>
      </w:r>
    </w:p>
    <w:p w14:paraId="3F8DCE17" w14:textId="1AF66031" w:rsidR="00FE75DF" w:rsidRDefault="00FE75DF" w:rsidP="009B1175">
      <w:pPr>
        <w:pStyle w:val="Prrafodelista"/>
        <w:numPr>
          <w:ilvl w:val="0"/>
          <w:numId w:val="26"/>
        </w:numPr>
        <w:spacing w:before="120" w:after="120" w:line="360" w:lineRule="auto"/>
        <w:ind w:left="993" w:hanging="284"/>
        <w:jc w:val="both"/>
        <w:rPr>
          <w:spacing w:val="-3"/>
        </w:rPr>
      </w:pPr>
      <w:r w:rsidRPr="009B1175">
        <w:rPr>
          <w:spacing w:val="-3"/>
        </w:rPr>
        <w:t xml:space="preserve">La presunción </w:t>
      </w:r>
      <w:r w:rsidR="00D84AB8" w:rsidRPr="009B1175">
        <w:rPr>
          <w:spacing w:val="-3"/>
        </w:rPr>
        <w:t xml:space="preserve">del artículo 38.1 de </w:t>
      </w:r>
      <w:r w:rsidRPr="009B1175">
        <w:rPr>
          <w:spacing w:val="-3"/>
        </w:rPr>
        <w:t xml:space="preserve">la Ley Hipotecaria, </w:t>
      </w:r>
      <w:r w:rsidR="00D84AB8" w:rsidRPr="009B1175">
        <w:rPr>
          <w:spacing w:val="-3"/>
        </w:rPr>
        <w:t>que dispone que</w:t>
      </w:r>
      <w:r w:rsidRPr="009B1175">
        <w:rPr>
          <w:spacing w:val="-3"/>
        </w:rPr>
        <w:t xml:space="preserve"> </w:t>
      </w:r>
      <w:r w:rsidR="00D84AB8" w:rsidRPr="009B1175">
        <w:rPr>
          <w:spacing w:val="-3"/>
        </w:rPr>
        <w:t>“</w:t>
      </w:r>
      <w:r w:rsidRPr="009B1175">
        <w:rPr>
          <w:spacing w:val="-3"/>
        </w:rPr>
        <w:t>se presumirá que quien tenga inscrito el dominio de los inmuebles o derechos reales tiene la posesión de los mismos</w:t>
      </w:r>
      <w:r w:rsidR="00D84AB8" w:rsidRPr="009B1175">
        <w:rPr>
          <w:spacing w:val="-3"/>
        </w:rPr>
        <w:t>”</w:t>
      </w:r>
      <w:r w:rsidRPr="009B1175">
        <w:rPr>
          <w:spacing w:val="-3"/>
        </w:rPr>
        <w:t>.</w:t>
      </w:r>
    </w:p>
    <w:p w14:paraId="78D50B1E" w14:textId="0A3BBE63" w:rsidR="00764C2D" w:rsidRPr="009B1175" w:rsidRDefault="00EE75BA" w:rsidP="009B1175">
      <w:pPr>
        <w:pStyle w:val="Prrafodelista"/>
        <w:numPr>
          <w:ilvl w:val="0"/>
          <w:numId w:val="26"/>
        </w:numPr>
        <w:spacing w:before="120" w:after="120" w:line="360" w:lineRule="auto"/>
        <w:ind w:left="993" w:hanging="284"/>
        <w:jc w:val="both"/>
        <w:rPr>
          <w:spacing w:val="-3"/>
        </w:rPr>
      </w:pPr>
      <w:r>
        <w:rPr>
          <w:spacing w:val="-3"/>
        </w:rPr>
        <w:t>La atribución al titular registral de una vía procesal sumaria para la tutela de la posesión del bien inscrito, ya que el a</w:t>
      </w:r>
      <w:r w:rsidR="006C07FE">
        <w:rPr>
          <w:spacing w:val="-3"/>
        </w:rPr>
        <w:t xml:space="preserve">rtículo 41 de la Ley Hipotecaria dispone que </w:t>
      </w:r>
      <w:r w:rsidR="006C07FE">
        <w:rPr>
          <w:spacing w:val="-3"/>
        </w:rPr>
        <w:lastRenderedPageBreak/>
        <w:t>“l</w:t>
      </w:r>
      <w:r w:rsidR="006C07FE" w:rsidRPr="006C07FE">
        <w:rPr>
          <w:spacing w:val="-3"/>
        </w:rPr>
        <w:t>as acciones reales procedentes de los derechos inscritos podrán ejercitarse a través del juicio verbal regulado en la Ley de Enjuiciamiento Civil, contra quienes, sin título inscrito, se opongan a aquellos derechos o perturben su ejercicio. Estas acciones, basadas en la legitimación registral que reconoce el artículo 38, exigirán siempre que por certificación del registrador se acredite la vigencia, sin contradicción alguna, del asiento correspondiente</w:t>
      </w:r>
      <w:r w:rsidR="006C07FE">
        <w:rPr>
          <w:spacing w:val="-3"/>
        </w:rPr>
        <w:t>”.</w:t>
      </w:r>
    </w:p>
    <w:p w14:paraId="3E283108" w14:textId="2BBC7160" w:rsidR="00FE75DF" w:rsidRPr="009B1175" w:rsidRDefault="00FE75DF" w:rsidP="009B1175">
      <w:pPr>
        <w:pStyle w:val="Prrafodelista"/>
        <w:numPr>
          <w:ilvl w:val="0"/>
          <w:numId w:val="26"/>
        </w:numPr>
        <w:spacing w:before="120" w:after="120" w:line="360" w:lineRule="auto"/>
        <w:ind w:left="993" w:hanging="284"/>
        <w:jc w:val="both"/>
        <w:rPr>
          <w:spacing w:val="-3"/>
        </w:rPr>
      </w:pPr>
      <w:r w:rsidRPr="009B1175">
        <w:rPr>
          <w:spacing w:val="-3"/>
        </w:rPr>
        <w:t xml:space="preserve">La posibilidad de conversión que prevé el último párrafo del artículo 353 del </w:t>
      </w:r>
      <w:r w:rsidR="00D84AB8" w:rsidRPr="009B1175">
        <w:rPr>
          <w:spacing w:val="-3"/>
        </w:rPr>
        <w:t>Reglamento Hipotecario de 14 de febrero de 1947, que dispone que “c</w:t>
      </w:r>
      <w:r w:rsidRPr="009B1175">
        <w:rPr>
          <w:spacing w:val="-3"/>
        </w:rPr>
        <w:t>uando se extienda alguna inscripción relativa a las fincas o se expida una certificación a solicitud del titular de las mismas, se convertirán en inscripciones de dominio las de posesión, si no existiere asiento contradictorio</w:t>
      </w:r>
      <w:r w:rsidR="00D84AB8" w:rsidRPr="009B1175">
        <w:rPr>
          <w:spacing w:val="-3"/>
        </w:rPr>
        <w:t>”, aunque este precepto ha perdido con el tiempo eficacia práctica.</w:t>
      </w:r>
    </w:p>
    <w:p w14:paraId="57161C96" w14:textId="06539145" w:rsidR="00A6194D" w:rsidRDefault="00A6194D" w:rsidP="00096B12">
      <w:pPr>
        <w:spacing w:before="120" w:after="120" w:line="360" w:lineRule="auto"/>
        <w:ind w:firstLine="708"/>
        <w:jc w:val="both"/>
        <w:rPr>
          <w:spacing w:val="-3"/>
        </w:rPr>
      </w:pPr>
    </w:p>
    <w:p w14:paraId="4EF8B153" w14:textId="7D413229" w:rsidR="00A6194D" w:rsidRDefault="00FE75DF" w:rsidP="00FE75DF">
      <w:pPr>
        <w:spacing w:before="120" w:after="120" w:line="360" w:lineRule="auto"/>
        <w:jc w:val="both"/>
        <w:rPr>
          <w:spacing w:val="-3"/>
        </w:rPr>
      </w:pPr>
      <w:r w:rsidRPr="00FE75DF">
        <w:rPr>
          <w:b/>
          <w:bCs/>
          <w:spacing w:val="-3"/>
        </w:rPr>
        <w:t>LA PRESCRIPCIÓN EN RELACIÓN CON EL REGISTRO</w:t>
      </w:r>
      <w:r>
        <w:rPr>
          <w:b/>
          <w:bCs/>
          <w:spacing w:val="-3"/>
        </w:rPr>
        <w:t>.</w:t>
      </w:r>
    </w:p>
    <w:p w14:paraId="5B30D36B" w14:textId="2F2D315A" w:rsidR="00AB386D" w:rsidRPr="00AB386D" w:rsidRDefault="00AB386D" w:rsidP="00AB386D">
      <w:pPr>
        <w:spacing w:before="120" w:after="120" w:line="360" w:lineRule="auto"/>
        <w:ind w:firstLine="708"/>
        <w:jc w:val="both"/>
        <w:rPr>
          <w:spacing w:val="-3"/>
          <w:lang w:val="es-ES_tradnl"/>
        </w:rPr>
      </w:pPr>
      <w:r w:rsidRPr="00AB386D">
        <w:rPr>
          <w:spacing w:val="-3"/>
          <w:lang w:val="es-ES_tradnl"/>
        </w:rPr>
        <w:t xml:space="preserve">Nuestra legislación hipotecaria toma en consideración la figura de la prescripción tanto cuando aquella es conforme al Registro </w:t>
      </w:r>
      <w:r w:rsidR="00D84AB8">
        <w:rPr>
          <w:spacing w:val="-3"/>
          <w:lang w:val="es-ES_tradnl"/>
        </w:rPr>
        <w:t xml:space="preserve">o </w:t>
      </w:r>
      <w:r w:rsidRPr="00D84AB8">
        <w:rPr>
          <w:i/>
          <w:iCs/>
          <w:spacing w:val="-3"/>
          <w:lang w:val="es-ES_tradnl"/>
        </w:rPr>
        <w:t>secundum tabulas</w:t>
      </w:r>
      <w:r w:rsidRPr="00AB386D">
        <w:rPr>
          <w:spacing w:val="-3"/>
          <w:lang w:val="es-ES_tradnl"/>
        </w:rPr>
        <w:t xml:space="preserve"> como cuando resulta contraria al mismo </w:t>
      </w:r>
      <w:r w:rsidR="00D84AB8">
        <w:rPr>
          <w:spacing w:val="-3"/>
          <w:lang w:val="es-ES_tradnl"/>
        </w:rPr>
        <w:t xml:space="preserve">o </w:t>
      </w:r>
      <w:r w:rsidRPr="00D84AB8">
        <w:rPr>
          <w:i/>
          <w:iCs/>
          <w:spacing w:val="-3"/>
          <w:lang w:val="es-ES_tradnl"/>
        </w:rPr>
        <w:t>contra tabulas</w:t>
      </w:r>
      <w:r w:rsidRPr="00AB386D">
        <w:rPr>
          <w:spacing w:val="-3"/>
          <w:lang w:val="es-ES_tradnl"/>
        </w:rPr>
        <w:t>.</w:t>
      </w:r>
    </w:p>
    <w:p w14:paraId="7BBE5C21" w14:textId="534C278A" w:rsidR="00AB386D" w:rsidRPr="00AB386D" w:rsidRDefault="00D84AB8" w:rsidP="00AB386D">
      <w:pPr>
        <w:spacing w:before="120" w:after="120" w:line="360" w:lineRule="auto"/>
        <w:ind w:firstLine="708"/>
        <w:jc w:val="both"/>
        <w:rPr>
          <w:spacing w:val="-3"/>
          <w:lang w:val="es-ES_tradnl"/>
        </w:rPr>
      </w:pPr>
      <w:r>
        <w:rPr>
          <w:spacing w:val="-3"/>
          <w:lang w:val="es-ES_tradnl"/>
        </w:rPr>
        <w:t xml:space="preserve">A la primera se refiere el </w:t>
      </w:r>
      <w:r w:rsidR="00AB386D" w:rsidRPr="00AB386D">
        <w:rPr>
          <w:spacing w:val="-3"/>
          <w:lang w:val="es-ES_tradnl"/>
        </w:rPr>
        <w:t>artículo 35</w:t>
      </w:r>
      <w:r>
        <w:rPr>
          <w:spacing w:val="-3"/>
          <w:lang w:val="es-ES_tradnl"/>
        </w:rPr>
        <w:t xml:space="preserve"> de la Ley Hipotecaria, que dispone que “a</w:t>
      </w:r>
      <w:r w:rsidR="00AB386D" w:rsidRPr="00AB386D">
        <w:rPr>
          <w:spacing w:val="-3"/>
          <w:lang w:val="es-ES_tradnl"/>
        </w:rPr>
        <w:t xml:space="preserve"> los efectos de la prescripción adquisitiva en favor del titular inscrito, será justo título la inscripción, y se presumirá que aquél ha poseído pública, pacífica, ininterrumpidamente y de buena fe durante el tiempo de vigencia del asiento y de los de sus antecesores de quienes traiga causa</w:t>
      </w:r>
      <w:r>
        <w:rPr>
          <w:spacing w:val="-3"/>
          <w:lang w:val="es-ES_tradnl"/>
        </w:rPr>
        <w:t>”</w:t>
      </w:r>
      <w:r w:rsidR="00AB386D" w:rsidRPr="00AB386D">
        <w:rPr>
          <w:spacing w:val="-3"/>
          <w:lang w:val="es-ES_tradnl"/>
        </w:rPr>
        <w:t>.</w:t>
      </w:r>
    </w:p>
    <w:p w14:paraId="794FC7BF" w14:textId="1ACB24A5" w:rsidR="00AB386D" w:rsidRPr="00AB386D" w:rsidRDefault="00D84AB8" w:rsidP="00AB386D">
      <w:pPr>
        <w:spacing w:before="120" w:after="120" w:line="360" w:lineRule="auto"/>
        <w:ind w:firstLine="708"/>
        <w:jc w:val="both"/>
        <w:rPr>
          <w:spacing w:val="-3"/>
          <w:lang w:val="es-ES_tradnl"/>
        </w:rPr>
      </w:pPr>
      <w:r>
        <w:rPr>
          <w:spacing w:val="-3"/>
          <w:lang w:val="es-ES_tradnl"/>
        </w:rPr>
        <w:t>L</w:t>
      </w:r>
      <w:r w:rsidR="00AB386D" w:rsidRPr="00AB386D">
        <w:rPr>
          <w:spacing w:val="-3"/>
          <w:lang w:val="es-ES_tradnl"/>
        </w:rPr>
        <w:t xml:space="preserve">a finalidad del precepto es permitir al titular registral </w:t>
      </w:r>
      <w:r w:rsidR="007C04F6">
        <w:rPr>
          <w:spacing w:val="-3"/>
          <w:lang w:val="es-ES_tradnl"/>
        </w:rPr>
        <w:t>a</w:t>
      </w:r>
      <w:r w:rsidR="00AB386D" w:rsidRPr="00AB386D">
        <w:rPr>
          <w:spacing w:val="-3"/>
          <w:lang w:val="es-ES_tradnl"/>
        </w:rPr>
        <w:t xml:space="preserve"> adqui</w:t>
      </w:r>
      <w:r w:rsidR="007C04F6">
        <w:rPr>
          <w:spacing w:val="-3"/>
          <w:lang w:val="es-ES_tradnl"/>
        </w:rPr>
        <w:t>rente</w:t>
      </w:r>
      <w:r w:rsidR="00AB386D" w:rsidRPr="00AB386D">
        <w:rPr>
          <w:spacing w:val="-3"/>
          <w:lang w:val="es-ES_tradnl"/>
        </w:rPr>
        <w:t xml:space="preserve"> </w:t>
      </w:r>
      <w:r w:rsidR="007C04F6">
        <w:rPr>
          <w:spacing w:val="-3"/>
          <w:lang w:val="es-ES_tradnl"/>
        </w:rPr>
        <w:t>a</w:t>
      </w:r>
      <w:r w:rsidR="00AB386D" w:rsidRPr="00AB386D">
        <w:rPr>
          <w:spacing w:val="-3"/>
          <w:lang w:val="es-ES_tradnl"/>
        </w:rPr>
        <w:t xml:space="preserve"> </w:t>
      </w:r>
      <w:r w:rsidR="00AB386D" w:rsidRPr="00D84AB8">
        <w:rPr>
          <w:i/>
          <w:iCs/>
          <w:spacing w:val="-3"/>
          <w:lang w:val="es-ES_tradnl"/>
        </w:rPr>
        <w:t>non domin</w:t>
      </w:r>
      <w:r w:rsidR="007C04F6">
        <w:rPr>
          <w:i/>
          <w:iCs/>
          <w:spacing w:val="-3"/>
          <w:lang w:val="es-ES_tradnl"/>
        </w:rPr>
        <w:t>o</w:t>
      </w:r>
      <w:r w:rsidR="00AB386D" w:rsidRPr="00AB386D">
        <w:rPr>
          <w:spacing w:val="-3"/>
          <w:lang w:val="es-ES_tradnl"/>
        </w:rPr>
        <w:t xml:space="preserve"> </w:t>
      </w:r>
      <w:r>
        <w:rPr>
          <w:spacing w:val="-3"/>
          <w:lang w:val="es-ES_tradnl"/>
        </w:rPr>
        <w:t xml:space="preserve">y </w:t>
      </w:r>
      <w:r w:rsidR="00AB386D" w:rsidRPr="00AB386D">
        <w:rPr>
          <w:spacing w:val="-3"/>
          <w:lang w:val="es-ES_tradnl"/>
        </w:rPr>
        <w:t>sin estar protegido por el artículo 34 de la L</w:t>
      </w:r>
      <w:r>
        <w:rPr>
          <w:spacing w:val="-3"/>
          <w:lang w:val="es-ES_tradnl"/>
        </w:rPr>
        <w:t xml:space="preserve">ey Hipotecaria </w:t>
      </w:r>
      <w:r w:rsidR="00AB386D" w:rsidRPr="00AB386D">
        <w:rPr>
          <w:spacing w:val="-3"/>
          <w:lang w:val="es-ES_tradnl"/>
        </w:rPr>
        <w:t>consolidar su adquisición, convirtiendo su usucapión extraordinaria en ordinaria o, si ya lo era, facilitando la prueba de las circunstancias exigidas para ésta.</w:t>
      </w:r>
    </w:p>
    <w:p w14:paraId="01114347" w14:textId="56AE546F" w:rsidR="00D84AB8" w:rsidRPr="00D84AB8" w:rsidRDefault="00D84AB8" w:rsidP="00D84AB8">
      <w:pPr>
        <w:spacing w:before="120" w:after="120" w:line="360" w:lineRule="auto"/>
        <w:ind w:firstLine="708"/>
        <w:jc w:val="both"/>
        <w:rPr>
          <w:spacing w:val="-3"/>
          <w:lang w:val="es-ES_tradnl"/>
        </w:rPr>
      </w:pPr>
      <w:r>
        <w:rPr>
          <w:spacing w:val="-3"/>
          <w:lang w:val="es-ES_tradnl"/>
        </w:rPr>
        <w:t xml:space="preserve">Por su parte, la </w:t>
      </w:r>
      <w:r w:rsidR="0055049A">
        <w:rPr>
          <w:spacing w:val="-3"/>
          <w:lang w:val="es-ES_tradnl"/>
        </w:rPr>
        <w:t>usucap</w:t>
      </w:r>
      <w:r>
        <w:rPr>
          <w:spacing w:val="-3"/>
          <w:lang w:val="es-ES_tradnl"/>
        </w:rPr>
        <w:t xml:space="preserve">ión </w:t>
      </w:r>
      <w:r w:rsidRPr="00724418">
        <w:rPr>
          <w:i/>
          <w:iCs/>
          <w:spacing w:val="-3"/>
          <w:lang w:val="es-ES_tradnl"/>
        </w:rPr>
        <w:t>contra tabulas</w:t>
      </w:r>
      <w:r>
        <w:rPr>
          <w:spacing w:val="-3"/>
          <w:lang w:val="es-ES_tradnl"/>
        </w:rPr>
        <w:t xml:space="preserve"> o en perjuicio del </w:t>
      </w:r>
      <w:r w:rsidR="00AB386D" w:rsidRPr="00AB386D">
        <w:rPr>
          <w:spacing w:val="-3"/>
          <w:lang w:val="es-ES_tradnl"/>
        </w:rPr>
        <w:t>titular registral</w:t>
      </w:r>
      <w:r>
        <w:rPr>
          <w:spacing w:val="-3"/>
          <w:lang w:val="es-ES_tradnl"/>
        </w:rPr>
        <w:t xml:space="preserve"> está regulada por el artículo 36 de la Ley Hipotecaria, que dispone que “f</w:t>
      </w:r>
      <w:r w:rsidRPr="00D84AB8">
        <w:rPr>
          <w:spacing w:val="-3"/>
          <w:lang w:val="es-ES_tradnl"/>
        </w:rPr>
        <w:t xml:space="preserve">rente a titulares inscritos que tengan la condición de terceros con arreglo al artículo </w:t>
      </w:r>
      <w:r>
        <w:rPr>
          <w:spacing w:val="-3"/>
          <w:lang w:val="es-ES_tradnl"/>
        </w:rPr>
        <w:t>34</w:t>
      </w:r>
      <w:r w:rsidRPr="00D84AB8">
        <w:rPr>
          <w:spacing w:val="-3"/>
          <w:lang w:val="es-ES_tradnl"/>
        </w:rPr>
        <w:t>, sólo prevalecerá la prescripción adquisitiva consumada o la que pueda consumarse dentro del año siguiente a su adquisición, en los dos supuestos siguientes:</w:t>
      </w:r>
    </w:p>
    <w:p w14:paraId="0E4EBC49" w14:textId="77777777" w:rsidR="00D84AB8" w:rsidRPr="00D84AB8" w:rsidRDefault="00D84AB8" w:rsidP="00D84AB8">
      <w:pPr>
        <w:spacing w:before="120" w:after="120" w:line="360" w:lineRule="auto"/>
        <w:ind w:firstLine="708"/>
        <w:jc w:val="both"/>
        <w:rPr>
          <w:spacing w:val="-3"/>
          <w:lang w:val="es-ES_tradnl"/>
        </w:rPr>
      </w:pPr>
      <w:r w:rsidRPr="00D84AB8">
        <w:rPr>
          <w:spacing w:val="-3"/>
          <w:lang w:val="es-ES_tradnl"/>
        </w:rPr>
        <w:lastRenderedPageBreak/>
        <w:t>a) Cuando se demuestre que el adquirente conoció o tuvo medios racionales y motivos suficientes para conocer, antes de perfeccionar su adquisición, que la finca o derecho estaba poseída de hecho y a título de dueño por persona distinta de su transmitente.</w:t>
      </w:r>
    </w:p>
    <w:p w14:paraId="7D99E68D" w14:textId="65176EC8" w:rsidR="00D84AB8" w:rsidRPr="00D84AB8" w:rsidRDefault="00D84AB8" w:rsidP="00D84AB8">
      <w:pPr>
        <w:spacing w:before="120" w:after="120" w:line="360" w:lineRule="auto"/>
        <w:ind w:firstLine="708"/>
        <w:jc w:val="both"/>
        <w:rPr>
          <w:spacing w:val="-3"/>
          <w:lang w:val="es-ES_tradnl"/>
        </w:rPr>
      </w:pPr>
      <w:r w:rsidRPr="00D84AB8">
        <w:rPr>
          <w:spacing w:val="-3"/>
          <w:lang w:val="es-ES_tradnl"/>
        </w:rPr>
        <w:t>b) Siempre que, no habiendo conocido ni podido conocer, según las normas anteriores, tal posesión de hecho al tiempo de la adquisición, el adquirente inscrito la consienta, expresa o tácitamente, durante todo el año siguiente a la adquisición. Cuando la prescripción afecte a una servidumbre negativa o no aparente, y ésta pueda adquirirse por prescripción, el plazo del año se contará desde que el titular pudo conocer su existencia en la forma</w:t>
      </w:r>
      <w:r w:rsidR="00607DF3">
        <w:rPr>
          <w:spacing w:val="-3"/>
          <w:lang w:val="es-ES_tradnl"/>
        </w:rPr>
        <w:t xml:space="preserve"> (antes explicada)</w:t>
      </w:r>
      <w:r w:rsidRPr="00D84AB8">
        <w:rPr>
          <w:spacing w:val="-3"/>
          <w:lang w:val="es-ES_tradnl"/>
        </w:rPr>
        <w:t>, o, en su defecto, desde que se produjo un acto obstativo a la libertad del predio sirviente.</w:t>
      </w:r>
    </w:p>
    <w:p w14:paraId="142EB71C" w14:textId="77777777" w:rsidR="00D84AB8" w:rsidRPr="00D84AB8" w:rsidRDefault="00D84AB8" w:rsidP="00D84AB8">
      <w:pPr>
        <w:spacing w:before="120" w:after="120" w:line="360" w:lineRule="auto"/>
        <w:ind w:firstLine="708"/>
        <w:jc w:val="both"/>
        <w:rPr>
          <w:spacing w:val="-3"/>
          <w:lang w:val="es-ES_tradnl"/>
        </w:rPr>
      </w:pPr>
      <w:r w:rsidRPr="00D84AB8">
        <w:rPr>
          <w:spacing w:val="-3"/>
          <w:lang w:val="es-ES_tradnl"/>
        </w:rPr>
        <w:t>La prescripción comenzada perjudicará igualmente al titular inscrito, si éste no la interrumpiere en la forma y plazo antes indicados, y sin perjuicio de que pueda también interrumpirla antes de su consumación total.</w:t>
      </w:r>
    </w:p>
    <w:p w14:paraId="5237A021" w14:textId="1A1BDB06" w:rsidR="00AB386D" w:rsidRPr="00AB386D" w:rsidRDefault="00D84AB8" w:rsidP="00D84AB8">
      <w:pPr>
        <w:spacing w:before="120" w:after="120" w:line="360" w:lineRule="auto"/>
        <w:ind w:firstLine="708"/>
        <w:jc w:val="both"/>
        <w:rPr>
          <w:spacing w:val="-3"/>
          <w:lang w:val="es-ES_tradnl"/>
        </w:rPr>
      </w:pPr>
      <w:r w:rsidRPr="00D84AB8">
        <w:rPr>
          <w:spacing w:val="-3"/>
          <w:lang w:val="es-ES_tradnl"/>
        </w:rPr>
        <w:t>En cuanto al que prescribe y al dueño del inmueble o derecho real que se esté prescribiendo y a sus sucesores que no tengan la consideración de terceros, se calificará el título y se contará el tiempo con arreglo a la legislación civil</w:t>
      </w:r>
      <w:r w:rsidR="00607DF3">
        <w:rPr>
          <w:spacing w:val="-3"/>
          <w:lang w:val="es-ES_tradnl"/>
        </w:rPr>
        <w:t>”.</w:t>
      </w:r>
    </w:p>
    <w:p w14:paraId="1501E523" w14:textId="1C3C9BE0" w:rsidR="00AB386D" w:rsidRPr="00AB386D" w:rsidRDefault="00607DF3" w:rsidP="00AB386D">
      <w:pPr>
        <w:spacing w:before="120" w:after="120" w:line="360" w:lineRule="auto"/>
        <w:ind w:firstLine="708"/>
        <w:jc w:val="both"/>
        <w:rPr>
          <w:spacing w:val="-3"/>
          <w:lang w:val="es-ES_tradnl"/>
        </w:rPr>
      </w:pPr>
      <w:r>
        <w:rPr>
          <w:spacing w:val="-3"/>
          <w:lang w:val="es-ES_tradnl"/>
        </w:rPr>
        <w:t>En cualquier caso, e</w:t>
      </w:r>
      <w:r w:rsidR="00AB386D" w:rsidRPr="00AB386D">
        <w:rPr>
          <w:spacing w:val="-3"/>
          <w:lang w:val="es-ES_tradnl"/>
        </w:rPr>
        <w:t>l acceso al Registro de la usucapión consumada, al no encontrarse afecta</w:t>
      </w:r>
      <w:r w:rsidR="00FB7790">
        <w:rPr>
          <w:spacing w:val="-3"/>
          <w:lang w:val="es-ES_tradnl"/>
        </w:rPr>
        <w:t>da</w:t>
      </w:r>
      <w:r w:rsidR="00AB386D" w:rsidRPr="00AB386D">
        <w:rPr>
          <w:spacing w:val="-3"/>
          <w:lang w:val="es-ES_tradnl"/>
        </w:rPr>
        <w:t xml:space="preserve"> por normas especiales, requerirá el consentimiento de</w:t>
      </w:r>
      <w:r>
        <w:rPr>
          <w:spacing w:val="-3"/>
          <w:lang w:val="es-ES_tradnl"/>
        </w:rPr>
        <w:t>l</w:t>
      </w:r>
      <w:r w:rsidR="00AB386D" w:rsidRPr="00AB386D">
        <w:rPr>
          <w:spacing w:val="-3"/>
          <w:lang w:val="es-ES_tradnl"/>
        </w:rPr>
        <w:t xml:space="preserve"> titular registral </w:t>
      </w:r>
      <w:r>
        <w:rPr>
          <w:spacing w:val="-3"/>
          <w:lang w:val="es-ES_tradnl"/>
        </w:rPr>
        <w:t xml:space="preserve">o, en su defecto, </w:t>
      </w:r>
      <w:r w:rsidR="00AB386D" w:rsidRPr="00AB386D">
        <w:rPr>
          <w:spacing w:val="-3"/>
          <w:lang w:val="es-ES_tradnl"/>
        </w:rPr>
        <w:t>sentencia firme.</w:t>
      </w:r>
    </w:p>
    <w:p w14:paraId="7C6F0D99" w14:textId="497CF4AC" w:rsidR="00AB386D" w:rsidRPr="00AB386D" w:rsidRDefault="00607DF3" w:rsidP="00607DF3">
      <w:pPr>
        <w:spacing w:before="120" w:after="120" w:line="360" w:lineRule="auto"/>
        <w:ind w:firstLine="708"/>
        <w:jc w:val="both"/>
        <w:rPr>
          <w:spacing w:val="-3"/>
          <w:lang w:val="es-ES_tradnl"/>
        </w:rPr>
      </w:pPr>
      <w:r>
        <w:rPr>
          <w:spacing w:val="-3"/>
          <w:lang w:val="es-ES_tradnl"/>
        </w:rPr>
        <w:t>Por otro lado, este artículo 36 de la Ley Hipotecaria también regula la p</w:t>
      </w:r>
      <w:r w:rsidR="00AB386D" w:rsidRPr="00AB386D">
        <w:rPr>
          <w:spacing w:val="-3"/>
          <w:lang w:val="es-ES_tradnl"/>
        </w:rPr>
        <w:t xml:space="preserve">rescripción extintiva </w:t>
      </w:r>
      <w:r w:rsidR="00AB386D" w:rsidRPr="00607DF3">
        <w:rPr>
          <w:i/>
          <w:iCs/>
          <w:spacing w:val="-3"/>
          <w:lang w:val="es-ES_tradnl"/>
        </w:rPr>
        <w:t>contra tabulas</w:t>
      </w:r>
      <w:r>
        <w:rPr>
          <w:spacing w:val="-3"/>
          <w:lang w:val="es-ES_tradnl"/>
        </w:rPr>
        <w:t>, disponiendo que “l</w:t>
      </w:r>
      <w:r w:rsidR="00AB386D" w:rsidRPr="00AB386D">
        <w:rPr>
          <w:spacing w:val="-3"/>
          <w:lang w:val="es-ES_tradnl"/>
        </w:rPr>
        <w:t>a prescripción extintiva de derechos reales sobre cosa ajena, susceptibles de posesión o de protección posesoria, perjudicará siempre al titular según el Registro, aunque tenga la condición de tercero</w:t>
      </w:r>
      <w:r>
        <w:rPr>
          <w:spacing w:val="-3"/>
          <w:lang w:val="es-ES_tradnl"/>
        </w:rPr>
        <w:t>”</w:t>
      </w:r>
      <w:r w:rsidR="00AB386D" w:rsidRPr="00AB386D">
        <w:rPr>
          <w:spacing w:val="-3"/>
          <w:lang w:val="es-ES_tradnl"/>
        </w:rPr>
        <w:t>.</w:t>
      </w:r>
    </w:p>
    <w:p w14:paraId="2F52BD37" w14:textId="12037B5E" w:rsidR="00AB386D" w:rsidRPr="00AB386D" w:rsidRDefault="00AB386D" w:rsidP="00AB386D">
      <w:pPr>
        <w:spacing w:before="120" w:after="120" w:line="360" w:lineRule="auto"/>
        <w:ind w:firstLine="708"/>
        <w:jc w:val="both"/>
        <w:rPr>
          <w:spacing w:val="-3"/>
          <w:lang w:val="es-ES_tradnl"/>
        </w:rPr>
      </w:pPr>
      <w:r w:rsidRPr="00AB386D">
        <w:rPr>
          <w:spacing w:val="-3"/>
          <w:lang w:val="es-ES_tradnl"/>
        </w:rPr>
        <w:t>Por tanto, si después de producida la prescripción extintiva de un derecho inscrito</w:t>
      </w:r>
      <w:r w:rsidR="000A730F">
        <w:rPr>
          <w:spacing w:val="-3"/>
          <w:lang w:val="es-ES_tradnl"/>
        </w:rPr>
        <w:t xml:space="preserve"> </w:t>
      </w:r>
      <w:r w:rsidRPr="00AB386D">
        <w:rPr>
          <w:spacing w:val="-3"/>
          <w:lang w:val="es-ES_tradnl"/>
        </w:rPr>
        <w:t xml:space="preserve">el titular registral otorga un acto de transmisión y aparece un tercer adquirente, éste será perjudicado por la prescripción y, </w:t>
      </w:r>
      <w:r w:rsidR="00607DF3">
        <w:rPr>
          <w:spacing w:val="-3"/>
          <w:lang w:val="es-ES_tradnl"/>
        </w:rPr>
        <w:t>por tanto</w:t>
      </w:r>
      <w:r w:rsidRPr="00AB386D">
        <w:rPr>
          <w:spacing w:val="-3"/>
          <w:lang w:val="es-ES_tradnl"/>
        </w:rPr>
        <w:t>, n</w:t>
      </w:r>
      <w:r w:rsidR="00607DF3">
        <w:rPr>
          <w:spacing w:val="-3"/>
          <w:lang w:val="es-ES_tradnl"/>
        </w:rPr>
        <w:t>ada</w:t>
      </w:r>
      <w:r w:rsidRPr="00AB386D">
        <w:rPr>
          <w:spacing w:val="-3"/>
          <w:lang w:val="es-ES_tradnl"/>
        </w:rPr>
        <w:t xml:space="preserve"> adquirirá.</w:t>
      </w:r>
    </w:p>
    <w:p w14:paraId="5FDA22A7" w14:textId="5C6E6495" w:rsidR="00170954" w:rsidRDefault="00607DF3" w:rsidP="00AB386D">
      <w:pPr>
        <w:spacing w:before="120" w:after="120" w:line="360" w:lineRule="auto"/>
        <w:ind w:firstLine="708"/>
        <w:jc w:val="both"/>
        <w:rPr>
          <w:spacing w:val="-3"/>
          <w:lang w:val="es-ES_tradnl"/>
        </w:rPr>
      </w:pPr>
      <w:r>
        <w:rPr>
          <w:spacing w:val="-3"/>
          <w:lang w:val="es-ES_tradnl"/>
        </w:rPr>
        <w:t xml:space="preserve">Finalmente, el artículo 36 de la Ley Hipotecaria también regula la </w:t>
      </w:r>
      <w:r w:rsidR="00AB386D" w:rsidRPr="00607DF3">
        <w:rPr>
          <w:i/>
          <w:iCs/>
          <w:spacing w:val="-3"/>
          <w:lang w:val="es-ES_tradnl"/>
        </w:rPr>
        <w:t>usucapio libertatis</w:t>
      </w:r>
      <w:r w:rsidR="00AB386D" w:rsidRPr="00AB386D">
        <w:rPr>
          <w:spacing w:val="-3"/>
          <w:lang w:val="es-ES_tradnl"/>
        </w:rPr>
        <w:t xml:space="preserve"> </w:t>
      </w:r>
      <w:r>
        <w:rPr>
          <w:spacing w:val="-3"/>
          <w:lang w:val="es-ES_tradnl"/>
        </w:rPr>
        <w:t xml:space="preserve">o </w:t>
      </w:r>
      <w:r w:rsidR="00AB386D" w:rsidRPr="00AB386D">
        <w:rPr>
          <w:spacing w:val="-3"/>
          <w:lang w:val="es-ES_tradnl"/>
        </w:rPr>
        <w:t>usucapión liberatoria</w:t>
      </w:r>
      <w:r>
        <w:rPr>
          <w:spacing w:val="-3"/>
          <w:lang w:val="es-ES_tradnl"/>
        </w:rPr>
        <w:t xml:space="preserve">, </w:t>
      </w:r>
      <w:r w:rsidR="00170954">
        <w:rPr>
          <w:spacing w:val="-3"/>
          <w:lang w:val="es-ES_tradnl"/>
        </w:rPr>
        <w:t xml:space="preserve">que </w:t>
      </w:r>
      <w:r w:rsidR="00170954" w:rsidRPr="00170954">
        <w:rPr>
          <w:spacing w:val="-3"/>
          <w:lang w:val="es-ES_tradnl"/>
        </w:rPr>
        <w:t xml:space="preserve">se produce cuando el usucapiente posee como libre una cosa </w:t>
      </w:r>
      <w:r w:rsidR="000E5CFC">
        <w:rPr>
          <w:spacing w:val="-3"/>
          <w:lang w:val="es-ES_tradnl"/>
        </w:rPr>
        <w:t xml:space="preserve">registralmente </w:t>
      </w:r>
      <w:r w:rsidR="00170954" w:rsidRPr="00170954">
        <w:rPr>
          <w:spacing w:val="-3"/>
          <w:lang w:val="es-ES_tradnl"/>
        </w:rPr>
        <w:t>gravada con un derecho real, adquiriéndola plenamente y sin el gravamen; es decir, el usucapiente adquiere a la vez la propiedad y el derecho real que la grava, por lo que éste se extingue por consolidación</w:t>
      </w:r>
      <w:r w:rsidR="00632771">
        <w:rPr>
          <w:spacing w:val="-3"/>
          <w:lang w:val="es-ES_tradnl"/>
        </w:rPr>
        <w:t>.</w:t>
      </w:r>
    </w:p>
    <w:p w14:paraId="5D7EF316" w14:textId="6A7CC5C1" w:rsidR="00A6194D" w:rsidRDefault="00754D38" w:rsidP="00AB386D">
      <w:pPr>
        <w:spacing w:before="120" w:after="120" w:line="360" w:lineRule="auto"/>
        <w:ind w:firstLine="708"/>
        <w:jc w:val="both"/>
        <w:rPr>
          <w:spacing w:val="-3"/>
          <w:lang w:val="es-ES_tradnl"/>
        </w:rPr>
      </w:pPr>
      <w:r>
        <w:rPr>
          <w:spacing w:val="-3"/>
          <w:lang w:val="es-ES_tradnl"/>
        </w:rPr>
        <w:lastRenderedPageBreak/>
        <w:t xml:space="preserve">Con relación a ella, el artículo 36 de la Ley Hipotecaria </w:t>
      </w:r>
      <w:r w:rsidR="00607DF3">
        <w:rPr>
          <w:spacing w:val="-3"/>
          <w:lang w:val="es-ES_tradnl"/>
        </w:rPr>
        <w:t>dispone</w:t>
      </w:r>
      <w:r>
        <w:rPr>
          <w:spacing w:val="-3"/>
          <w:lang w:val="es-ES_tradnl"/>
        </w:rPr>
        <w:t xml:space="preserve"> </w:t>
      </w:r>
      <w:r w:rsidR="00607DF3">
        <w:rPr>
          <w:spacing w:val="-3"/>
          <w:lang w:val="es-ES_tradnl"/>
        </w:rPr>
        <w:t>que “l</w:t>
      </w:r>
      <w:r w:rsidR="00AB386D" w:rsidRPr="00AB386D">
        <w:rPr>
          <w:spacing w:val="-3"/>
          <w:lang w:val="es-ES_tradnl"/>
        </w:rPr>
        <w:t>os derechos adquiridos a título oneroso y de buena fe que no lleven aneja la facultad de inmediato disfrute del derecho sobre el cual se hubieren constituido, no se extinguirán por usucapión de éste. Tampoco se extinguirán los que impliquen aquella facultad cuando el disfrute de los mismos no fuere incompatible con la posesión, causa de la prescripción adquisitiva, o cuando, a</w:t>
      </w:r>
      <w:r w:rsidR="00C1760C">
        <w:rPr>
          <w:spacing w:val="-3"/>
          <w:lang w:val="es-ES_tradnl"/>
        </w:rPr>
        <w:t>u</w:t>
      </w:r>
      <w:r w:rsidR="00AB386D" w:rsidRPr="00AB386D">
        <w:rPr>
          <w:spacing w:val="-3"/>
          <w:lang w:val="es-ES_tradnl"/>
        </w:rPr>
        <w:t>n siéndolo, reúnan sus titulares las circunstancias y procedan en la forma y plazos</w:t>
      </w:r>
      <w:r w:rsidR="00607DF3">
        <w:rPr>
          <w:spacing w:val="-3"/>
          <w:lang w:val="es-ES_tradnl"/>
        </w:rPr>
        <w:t xml:space="preserve"> </w:t>
      </w:r>
      <w:r w:rsidR="00300B40">
        <w:rPr>
          <w:spacing w:val="-3"/>
          <w:lang w:val="es-ES_tradnl"/>
        </w:rPr>
        <w:t xml:space="preserve">que determina el </w:t>
      </w:r>
      <w:r w:rsidR="00AA2891">
        <w:rPr>
          <w:spacing w:val="-3"/>
          <w:lang w:val="es-ES_tradnl"/>
        </w:rPr>
        <w:t>párrafo b) de este artículo</w:t>
      </w:r>
      <w:r w:rsidR="00C94C34">
        <w:rPr>
          <w:spacing w:val="-3"/>
          <w:lang w:val="es-ES_tradnl"/>
        </w:rPr>
        <w:t>”, antes</w:t>
      </w:r>
      <w:r w:rsidR="00AA2891">
        <w:rPr>
          <w:spacing w:val="-3"/>
          <w:lang w:val="es-ES_tradnl"/>
        </w:rPr>
        <w:t xml:space="preserve"> </w:t>
      </w:r>
      <w:r w:rsidR="00607DF3">
        <w:rPr>
          <w:spacing w:val="-3"/>
          <w:lang w:val="es-ES_tradnl"/>
        </w:rPr>
        <w:t>examinado</w:t>
      </w:r>
      <w:r w:rsidR="00AB386D" w:rsidRPr="00AB386D">
        <w:rPr>
          <w:spacing w:val="-3"/>
          <w:lang w:val="es-ES_tradnl"/>
        </w:rPr>
        <w:t>.</w:t>
      </w:r>
    </w:p>
    <w:p w14:paraId="486BDC20" w14:textId="77777777" w:rsidR="00607DF3" w:rsidRPr="00607DF3" w:rsidRDefault="00607DF3" w:rsidP="00096B12">
      <w:pPr>
        <w:spacing w:before="120" w:after="120" w:line="360" w:lineRule="auto"/>
        <w:ind w:firstLine="708"/>
        <w:jc w:val="both"/>
        <w:rPr>
          <w:spacing w:val="-3"/>
          <w:lang w:val="es-ES_tradnl"/>
        </w:rPr>
      </w:pPr>
    </w:p>
    <w:p w14:paraId="2EBA9800" w14:textId="73391584" w:rsidR="00A6194D" w:rsidRDefault="00E362F9" w:rsidP="00E362F9">
      <w:pPr>
        <w:spacing w:before="120" w:after="120" w:line="360" w:lineRule="auto"/>
        <w:jc w:val="both"/>
        <w:rPr>
          <w:spacing w:val="-3"/>
        </w:rPr>
      </w:pPr>
      <w:r w:rsidRPr="00E362F9">
        <w:rPr>
          <w:b/>
          <w:bCs/>
          <w:spacing w:val="-3"/>
        </w:rPr>
        <w:t>LAS PROHIBICIONES DE DISPONER.</w:t>
      </w:r>
    </w:p>
    <w:p w14:paraId="6D10A9F3" w14:textId="27A81581" w:rsidR="00AB2BBB" w:rsidRPr="00AB2BBB" w:rsidRDefault="00AB2BBB" w:rsidP="00AB2BBB">
      <w:pPr>
        <w:spacing w:before="120" w:after="120" w:line="360" w:lineRule="auto"/>
        <w:ind w:firstLine="708"/>
        <w:jc w:val="both"/>
        <w:rPr>
          <w:spacing w:val="-3"/>
          <w:lang w:val="es-ES_tradnl"/>
        </w:rPr>
      </w:pPr>
      <w:r w:rsidRPr="00AB2BBB">
        <w:rPr>
          <w:spacing w:val="-3"/>
          <w:lang w:val="es-ES_tradnl"/>
        </w:rPr>
        <w:t xml:space="preserve">Las prohibiciones de disponer </w:t>
      </w:r>
      <w:r w:rsidR="00C94C34">
        <w:rPr>
          <w:spacing w:val="-3"/>
          <w:lang w:val="es-ES_tradnl"/>
        </w:rPr>
        <w:t>son</w:t>
      </w:r>
      <w:r w:rsidRPr="00AB2BBB">
        <w:rPr>
          <w:spacing w:val="-3"/>
          <w:lang w:val="es-ES_tradnl"/>
        </w:rPr>
        <w:t xml:space="preserve"> restricciones </w:t>
      </w:r>
      <w:r w:rsidR="0093565A">
        <w:rPr>
          <w:spacing w:val="-3"/>
          <w:lang w:val="es-ES_tradnl"/>
        </w:rPr>
        <w:t xml:space="preserve">de </w:t>
      </w:r>
      <w:r w:rsidRPr="00AB2BBB">
        <w:rPr>
          <w:spacing w:val="-3"/>
          <w:lang w:val="es-ES_tradnl"/>
        </w:rPr>
        <w:t>la facultad dispositiva de un derecho</w:t>
      </w:r>
      <w:r w:rsidR="000A730F">
        <w:rPr>
          <w:spacing w:val="-3"/>
          <w:lang w:val="es-ES_tradnl"/>
        </w:rPr>
        <w:t xml:space="preserve"> real</w:t>
      </w:r>
      <w:r w:rsidRPr="00AB2BBB">
        <w:rPr>
          <w:spacing w:val="-3"/>
          <w:lang w:val="es-ES_tradnl"/>
        </w:rPr>
        <w:t xml:space="preserve"> </w:t>
      </w:r>
      <w:r w:rsidR="0093565A">
        <w:rPr>
          <w:spacing w:val="-3"/>
          <w:lang w:val="es-ES_tradnl"/>
        </w:rPr>
        <w:t xml:space="preserve">que impiden que su </w:t>
      </w:r>
      <w:r w:rsidRPr="00AB2BBB">
        <w:rPr>
          <w:spacing w:val="-3"/>
          <w:lang w:val="es-ES_tradnl"/>
        </w:rPr>
        <w:t>titular pued</w:t>
      </w:r>
      <w:r w:rsidR="0093565A">
        <w:rPr>
          <w:spacing w:val="-3"/>
          <w:lang w:val="es-ES_tradnl"/>
        </w:rPr>
        <w:t>a</w:t>
      </w:r>
      <w:r w:rsidRPr="00AB2BBB">
        <w:rPr>
          <w:spacing w:val="-3"/>
          <w:lang w:val="es-ES_tradnl"/>
        </w:rPr>
        <w:t xml:space="preserve"> enajena</w:t>
      </w:r>
      <w:r w:rsidR="0093565A">
        <w:rPr>
          <w:spacing w:val="-3"/>
          <w:lang w:val="es-ES_tradnl"/>
        </w:rPr>
        <w:t>rlo</w:t>
      </w:r>
      <w:r w:rsidRPr="00AB2BBB">
        <w:rPr>
          <w:spacing w:val="-3"/>
          <w:lang w:val="es-ES_tradnl"/>
        </w:rPr>
        <w:t>, gravarlo</w:t>
      </w:r>
      <w:r w:rsidR="0093565A">
        <w:rPr>
          <w:spacing w:val="-3"/>
          <w:lang w:val="es-ES_tradnl"/>
        </w:rPr>
        <w:t>, modificarlo o realizar cualquier otro acto dispositivo</w:t>
      </w:r>
      <w:r w:rsidRPr="00AB2BBB">
        <w:rPr>
          <w:spacing w:val="-3"/>
          <w:lang w:val="es-ES_tradnl"/>
        </w:rPr>
        <w:t>.</w:t>
      </w:r>
    </w:p>
    <w:p w14:paraId="54C89489" w14:textId="743F60FB" w:rsidR="00AB2BBB" w:rsidRPr="00AB2BBB" w:rsidRDefault="0093565A" w:rsidP="0093565A">
      <w:pPr>
        <w:spacing w:before="120" w:after="120" w:line="360" w:lineRule="auto"/>
        <w:ind w:firstLine="708"/>
        <w:jc w:val="both"/>
        <w:rPr>
          <w:spacing w:val="-3"/>
          <w:lang w:val="es-ES_tradnl"/>
        </w:rPr>
      </w:pPr>
      <w:r>
        <w:rPr>
          <w:spacing w:val="-3"/>
          <w:lang w:val="es-ES_tradnl"/>
        </w:rPr>
        <w:t>Pueden distinguirse las siguientes clase</w:t>
      </w:r>
      <w:r w:rsidR="006A5A9D">
        <w:rPr>
          <w:spacing w:val="-3"/>
          <w:lang w:val="es-ES_tradnl"/>
        </w:rPr>
        <w:t>s</w:t>
      </w:r>
      <w:r>
        <w:rPr>
          <w:spacing w:val="-3"/>
          <w:lang w:val="es-ES_tradnl"/>
        </w:rPr>
        <w:t xml:space="preserve"> de </w:t>
      </w:r>
      <w:r w:rsidR="00AB2BBB" w:rsidRPr="00AB2BBB">
        <w:rPr>
          <w:spacing w:val="-3"/>
          <w:lang w:val="es-ES_tradnl"/>
        </w:rPr>
        <w:t>prohibiciones de disponer:</w:t>
      </w:r>
    </w:p>
    <w:p w14:paraId="2DF73F4F" w14:textId="721214A9" w:rsidR="00AB2BBB" w:rsidRPr="007703DB" w:rsidRDefault="00AB2BBB" w:rsidP="007703DB">
      <w:pPr>
        <w:pStyle w:val="Prrafodelista"/>
        <w:numPr>
          <w:ilvl w:val="0"/>
          <w:numId w:val="25"/>
        </w:numPr>
        <w:spacing w:before="120" w:after="120" w:line="360" w:lineRule="auto"/>
        <w:ind w:left="993" w:hanging="284"/>
        <w:jc w:val="both"/>
        <w:rPr>
          <w:spacing w:val="-3"/>
          <w:lang w:val="es-ES_tradnl"/>
        </w:rPr>
      </w:pPr>
      <w:r w:rsidRPr="007703DB">
        <w:rPr>
          <w:spacing w:val="-3"/>
          <w:lang w:val="es-ES_tradnl"/>
        </w:rPr>
        <w:t>Por razón de su duración</w:t>
      </w:r>
      <w:r w:rsidR="000F644F">
        <w:rPr>
          <w:spacing w:val="-3"/>
          <w:lang w:val="es-ES_tradnl"/>
        </w:rPr>
        <w:t xml:space="preserve"> pueden ser</w:t>
      </w:r>
      <w:r w:rsidR="0093565A" w:rsidRPr="007703DB">
        <w:rPr>
          <w:spacing w:val="-3"/>
          <w:lang w:val="es-ES_tradnl"/>
        </w:rPr>
        <w:t xml:space="preserve"> </w:t>
      </w:r>
      <w:r w:rsidRPr="007703DB">
        <w:rPr>
          <w:spacing w:val="-3"/>
          <w:lang w:val="es-ES_tradnl"/>
        </w:rPr>
        <w:t>temporales o perpetuas</w:t>
      </w:r>
      <w:r w:rsidR="0093565A" w:rsidRPr="007703DB">
        <w:rPr>
          <w:spacing w:val="-3"/>
          <w:lang w:val="es-ES_tradnl"/>
        </w:rPr>
        <w:t xml:space="preserve">, si bien </w:t>
      </w:r>
      <w:r w:rsidR="006A5A9D" w:rsidRPr="007703DB">
        <w:rPr>
          <w:spacing w:val="-3"/>
          <w:lang w:val="es-ES_tradnl"/>
        </w:rPr>
        <w:t>el artículo 785 del Código Civil de 24 de julio de 1889 proscribe las prohibiciones perpetuas, e incluso las temporales que excedan del límite previsto para las sustituciones fideicomisarias por el artículo 781.</w:t>
      </w:r>
    </w:p>
    <w:p w14:paraId="0C364D33" w14:textId="2F61A460" w:rsidR="00AB2BBB" w:rsidRPr="007703DB" w:rsidRDefault="00AB2BBB" w:rsidP="007703DB">
      <w:pPr>
        <w:pStyle w:val="Prrafodelista"/>
        <w:numPr>
          <w:ilvl w:val="0"/>
          <w:numId w:val="25"/>
        </w:numPr>
        <w:spacing w:before="120" w:after="120" w:line="360" w:lineRule="auto"/>
        <w:ind w:left="993" w:hanging="284"/>
        <w:jc w:val="both"/>
        <w:rPr>
          <w:spacing w:val="-3"/>
          <w:lang w:val="es-ES_tradnl"/>
        </w:rPr>
      </w:pPr>
      <w:r w:rsidRPr="007703DB">
        <w:rPr>
          <w:spacing w:val="-3"/>
          <w:lang w:val="es-ES_tradnl"/>
        </w:rPr>
        <w:t xml:space="preserve">Por sus efectos </w:t>
      </w:r>
      <w:r w:rsidR="00784FB2" w:rsidRPr="007703DB">
        <w:rPr>
          <w:spacing w:val="-3"/>
          <w:lang w:val="es-ES_tradnl"/>
        </w:rPr>
        <w:t>p</w:t>
      </w:r>
      <w:r w:rsidRPr="007703DB">
        <w:rPr>
          <w:spacing w:val="-3"/>
          <w:lang w:val="es-ES_tradnl"/>
        </w:rPr>
        <w:t xml:space="preserve">ueden tener muy distinto alcance, en función de los actos </w:t>
      </w:r>
      <w:r w:rsidR="000F644F">
        <w:rPr>
          <w:spacing w:val="-3"/>
          <w:lang w:val="es-ES_tradnl"/>
        </w:rPr>
        <w:t xml:space="preserve">dispositivos </w:t>
      </w:r>
      <w:r w:rsidRPr="007703DB">
        <w:rPr>
          <w:spacing w:val="-3"/>
          <w:lang w:val="es-ES_tradnl"/>
        </w:rPr>
        <w:t>que queden excluidos.</w:t>
      </w:r>
    </w:p>
    <w:p w14:paraId="3187F9A0" w14:textId="4D9FC8E4" w:rsidR="00A6194D" w:rsidRPr="007703DB" w:rsidRDefault="00651C0F" w:rsidP="007703DB">
      <w:pPr>
        <w:pStyle w:val="Prrafodelista"/>
        <w:numPr>
          <w:ilvl w:val="0"/>
          <w:numId w:val="25"/>
        </w:numPr>
        <w:spacing w:before="120" w:after="120" w:line="360" w:lineRule="auto"/>
        <w:ind w:left="993" w:hanging="284"/>
        <w:jc w:val="both"/>
        <w:rPr>
          <w:spacing w:val="-3"/>
          <w:lang w:val="es-ES_tradnl"/>
        </w:rPr>
      </w:pPr>
      <w:r w:rsidRPr="007703DB">
        <w:rPr>
          <w:spacing w:val="-3"/>
          <w:lang w:val="es-ES_tradnl"/>
        </w:rPr>
        <w:t>Po</w:t>
      </w:r>
      <w:r w:rsidR="00AB2BBB" w:rsidRPr="007703DB">
        <w:rPr>
          <w:spacing w:val="-3"/>
          <w:lang w:val="es-ES_tradnl"/>
        </w:rPr>
        <w:t>r su origen</w:t>
      </w:r>
      <w:r w:rsidR="000F644F">
        <w:rPr>
          <w:spacing w:val="-3"/>
          <w:lang w:val="es-ES_tradnl"/>
        </w:rPr>
        <w:t xml:space="preserve"> pueden ser</w:t>
      </w:r>
      <w:r w:rsidR="00AB2BBB" w:rsidRPr="007703DB">
        <w:rPr>
          <w:spacing w:val="-3"/>
          <w:lang w:val="es-ES_tradnl"/>
        </w:rPr>
        <w:t xml:space="preserve"> legales, voluntarias y judiciales o administrativas</w:t>
      </w:r>
      <w:r w:rsidRPr="007703DB">
        <w:rPr>
          <w:spacing w:val="-3"/>
          <w:lang w:val="es-ES_tradnl"/>
        </w:rPr>
        <w:t xml:space="preserve">, </w:t>
      </w:r>
      <w:r w:rsidR="000F644F">
        <w:rPr>
          <w:spacing w:val="-3"/>
          <w:lang w:val="es-ES_tradnl"/>
        </w:rPr>
        <w:t xml:space="preserve">como regulan </w:t>
      </w:r>
      <w:r w:rsidR="00EE1701" w:rsidRPr="007703DB">
        <w:rPr>
          <w:spacing w:val="-3"/>
          <w:lang w:val="es-ES_tradnl"/>
        </w:rPr>
        <w:t xml:space="preserve">los </w:t>
      </w:r>
      <w:r w:rsidR="00AB2BBB" w:rsidRPr="007703DB">
        <w:rPr>
          <w:spacing w:val="-3"/>
          <w:lang w:val="es-ES_tradnl"/>
        </w:rPr>
        <w:t xml:space="preserve">artículos 26 y 27 de la </w:t>
      </w:r>
      <w:r w:rsidR="00EE1701" w:rsidRPr="007703DB">
        <w:rPr>
          <w:spacing w:val="-3"/>
          <w:lang w:val="es-ES_tradnl"/>
        </w:rPr>
        <w:t>Ley Hipotecaria</w:t>
      </w:r>
      <w:r w:rsidR="00AB2BBB" w:rsidRPr="007703DB">
        <w:rPr>
          <w:spacing w:val="-3"/>
          <w:lang w:val="es-ES_tradnl"/>
        </w:rPr>
        <w:t>, que paso a analizar.</w:t>
      </w:r>
    </w:p>
    <w:p w14:paraId="78C1A856" w14:textId="3863DE1C" w:rsidR="00A6194D" w:rsidRDefault="00A6194D" w:rsidP="00096B12">
      <w:pPr>
        <w:spacing w:before="120" w:after="120" w:line="360" w:lineRule="auto"/>
        <w:ind w:firstLine="708"/>
        <w:jc w:val="both"/>
        <w:rPr>
          <w:spacing w:val="-3"/>
        </w:rPr>
      </w:pPr>
    </w:p>
    <w:p w14:paraId="6A4C9D2E" w14:textId="296390E1" w:rsidR="00A6194D" w:rsidRDefault="00AB2BBB" w:rsidP="00AB2BBB">
      <w:pPr>
        <w:spacing w:before="120" w:after="120" w:line="360" w:lineRule="auto"/>
        <w:jc w:val="both"/>
        <w:rPr>
          <w:spacing w:val="-3"/>
        </w:rPr>
      </w:pPr>
      <w:r w:rsidRPr="00AB2BBB">
        <w:rPr>
          <w:b/>
          <w:bCs/>
          <w:spacing w:val="-3"/>
        </w:rPr>
        <w:t>LAS PROHIBICIONES DE DISPONER. EXAMEN DE LOS ARTÍCULOS 26 Y 27 DE LA LEY.</w:t>
      </w:r>
    </w:p>
    <w:p w14:paraId="6E82078F" w14:textId="1BEFA77F" w:rsidR="009241B8" w:rsidRPr="009241B8" w:rsidRDefault="00CF2224" w:rsidP="009241B8">
      <w:pPr>
        <w:spacing w:before="120" w:after="120" w:line="360" w:lineRule="auto"/>
        <w:ind w:firstLine="708"/>
        <w:jc w:val="both"/>
        <w:rPr>
          <w:spacing w:val="-3"/>
        </w:rPr>
      </w:pPr>
      <w:r>
        <w:rPr>
          <w:spacing w:val="-3"/>
        </w:rPr>
        <w:t xml:space="preserve">Dispone el artículo 26 de la Ley Hipotecaria que </w:t>
      </w:r>
      <w:r w:rsidR="009241B8">
        <w:rPr>
          <w:spacing w:val="-3"/>
        </w:rPr>
        <w:t>“l</w:t>
      </w:r>
      <w:r w:rsidR="009241B8" w:rsidRPr="009241B8">
        <w:rPr>
          <w:spacing w:val="-3"/>
        </w:rPr>
        <w:t>as prohibiciones de disponer o enajenar se harán constar en el Registro de la Propiedad y producirán efecto con arreglo a las siguientes normas:</w:t>
      </w:r>
    </w:p>
    <w:p w14:paraId="0D68E586" w14:textId="77777777" w:rsidR="009241B8" w:rsidRPr="009241B8" w:rsidRDefault="009241B8" w:rsidP="009241B8">
      <w:pPr>
        <w:spacing w:before="120" w:after="120" w:line="360" w:lineRule="auto"/>
        <w:ind w:firstLine="708"/>
        <w:jc w:val="both"/>
        <w:rPr>
          <w:spacing w:val="-3"/>
        </w:rPr>
      </w:pPr>
      <w:r w:rsidRPr="009241B8">
        <w:rPr>
          <w:spacing w:val="-3"/>
        </w:rPr>
        <w:t>Primera. Las establecidas por la Ley que, sin expresa declaración judicial o administrativa, tengan plena eficacia jurídica, no necesitarán inscripción separada y especial y surtirán sus efectos como limitaciones legales del dominio.</w:t>
      </w:r>
    </w:p>
    <w:p w14:paraId="0C3A00CD" w14:textId="77777777" w:rsidR="009241B8" w:rsidRPr="009241B8" w:rsidRDefault="009241B8" w:rsidP="009241B8">
      <w:pPr>
        <w:spacing w:before="120" w:after="120" w:line="360" w:lineRule="auto"/>
        <w:ind w:firstLine="708"/>
        <w:jc w:val="both"/>
        <w:rPr>
          <w:spacing w:val="-3"/>
        </w:rPr>
      </w:pPr>
      <w:r w:rsidRPr="009241B8">
        <w:rPr>
          <w:spacing w:val="-3"/>
        </w:rPr>
        <w:lastRenderedPageBreak/>
        <w:t>Segunda. Las que deban su origen inmediato a alguna resolución judicial o administrativa serán objeto de anotación preventiva.</w:t>
      </w:r>
    </w:p>
    <w:p w14:paraId="283D7803" w14:textId="34A5C5F6" w:rsidR="009241B8" w:rsidRPr="009241B8" w:rsidRDefault="009241B8" w:rsidP="009241B8">
      <w:pPr>
        <w:spacing w:before="120" w:after="120" w:line="360" w:lineRule="auto"/>
        <w:ind w:firstLine="708"/>
        <w:jc w:val="both"/>
        <w:rPr>
          <w:spacing w:val="-3"/>
        </w:rPr>
      </w:pPr>
      <w:r w:rsidRPr="009241B8">
        <w:rPr>
          <w:spacing w:val="-3"/>
        </w:rPr>
        <w:t>Tercera. Las impuestas por el testador o donante en actos o disposiciones de última voluntad, capitulaciones matrimoniales, donaciones y demás actos a título gratuito, serán inscribibles siempre que la legislación vigente reconozca su validez</w:t>
      </w:r>
      <w:r>
        <w:rPr>
          <w:spacing w:val="-3"/>
        </w:rPr>
        <w:t>”</w:t>
      </w:r>
      <w:r w:rsidRPr="009241B8">
        <w:rPr>
          <w:spacing w:val="-3"/>
        </w:rPr>
        <w:t>.</w:t>
      </w:r>
    </w:p>
    <w:p w14:paraId="47BA87EF" w14:textId="0DD93C5F" w:rsidR="009241B8" w:rsidRDefault="009241B8" w:rsidP="009241B8">
      <w:pPr>
        <w:spacing w:before="120" w:after="120" w:line="360" w:lineRule="auto"/>
        <w:ind w:firstLine="708"/>
        <w:jc w:val="both"/>
        <w:rPr>
          <w:spacing w:val="-3"/>
        </w:rPr>
      </w:pPr>
      <w:r w:rsidRPr="009241B8">
        <w:rPr>
          <w:spacing w:val="-3"/>
        </w:rPr>
        <w:t>A</w:t>
      </w:r>
      <w:r>
        <w:rPr>
          <w:spacing w:val="-3"/>
        </w:rPr>
        <w:t>ñade el a</w:t>
      </w:r>
      <w:r w:rsidRPr="009241B8">
        <w:rPr>
          <w:spacing w:val="-3"/>
        </w:rPr>
        <w:t>rtículo 27</w:t>
      </w:r>
      <w:r>
        <w:rPr>
          <w:spacing w:val="-3"/>
        </w:rPr>
        <w:t xml:space="preserve"> de la Ley Hipotecaria que “l</w:t>
      </w:r>
      <w:r w:rsidRPr="009241B8">
        <w:rPr>
          <w:spacing w:val="-3"/>
        </w:rPr>
        <w:t>as prohibiciones de disponer que tengan su origen en actos o contratos de los no comprendidos en el artículo anterior, no tendrán acceso al Registro, sin perjuicio de que mediante hipoteca o cualquier otra forma de garantía real se asegure su cumplimiento</w:t>
      </w:r>
      <w:r>
        <w:rPr>
          <w:spacing w:val="-3"/>
        </w:rPr>
        <w:t>”</w:t>
      </w:r>
      <w:r w:rsidRPr="009241B8">
        <w:rPr>
          <w:spacing w:val="-3"/>
        </w:rPr>
        <w:t>.</w:t>
      </w:r>
    </w:p>
    <w:p w14:paraId="77D56DE8" w14:textId="445A4488" w:rsidR="009241B8" w:rsidRDefault="00033D0D" w:rsidP="00CC27B2">
      <w:pPr>
        <w:spacing w:before="120" w:after="120" w:line="360" w:lineRule="auto"/>
        <w:ind w:firstLine="708"/>
        <w:jc w:val="both"/>
        <w:rPr>
          <w:spacing w:val="-3"/>
        </w:rPr>
      </w:pPr>
      <w:r>
        <w:rPr>
          <w:spacing w:val="-3"/>
        </w:rPr>
        <w:t>Sobre estos preceptos se puede hacer constar lo siguiente:</w:t>
      </w:r>
    </w:p>
    <w:p w14:paraId="5603E80D" w14:textId="57708980" w:rsidR="00033D0D" w:rsidRPr="00ED7E5A" w:rsidRDefault="00033D0D" w:rsidP="00ED7E5A">
      <w:pPr>
        <w:pStyle w:val="Prrafodelista"/>
        <w:numPr>
          <w:ilvl w:val="0"/>
          <w:numId w:val="24"/>
        </w:numPr>
        <w:spacing w:before="120" w:after="120" w:line="360" w:lineRule="auto"/>
        <w:ind w:left="993" w:hanging="284"/>
        <w:jc w:val="both"/>
        <w:rPr>
          <w:spacing w:val="-3"/>
        </w:rPr>
      </w:pPr>
      <w:r w:rsidRPr="00ED7E5A">
        <w:rPr>
          <w:spacing w:val="-3"/>
        </w:rPr>
        <w:t>Las prohibiciones legales pueden tener acceso al Registro cuando una ley así lo prevé</w:t>
      </w:r>
      <w:r w:rsidR="00595F87" w:rsidRPr="00ED7E5A">
        <w:rPr>
          <w:spacing w:val="-3"/>
        </w:rPr>
        <w:t>, como es frecuente, por ejemplo, en la normativa reguladora de la transmisión de viviendas de protección pública.</w:t>
      </w:r>
    </w:p>
    <w:p w14:paraId="71ECC14A" w14:textId="419D3F31" w:rsidR="00C1045D" w:rsidRPr="00ED7E5A" w:rsidRDefault="00CD3A18" w:rsidP="00ED7E5A">
      <w:pPr>
        <w:pStyle w:val="Prrafodelista"/>
        <w:numPr>
          <w:ilvl w:val="0"/>
          <w:numId w:val="24"/>
        </w:numPr>
        <w:spacing w:before="120" w:after="120" w:line="360" w:lineRule="auto"/>
        <w:ind w:left="993" w:hanging="284"/>
        <w:jc w:val="both"/>
        <w:rPr>
          <w:spacing w:val="-3"/>
        </w:rPr>
      </w:pPr>
      <w:r w:rsidRPr="00ED7E5A">
        <w:rPr>
          <w:spacing w:val="-3"/>
        </w:rPr>
        <w:t xml:space="preserve">Entre las prohibiciones de disponer judiciales destacan las acordadas </w:t>
      </w:r>
      <w:r w:rsidR="00C470BE" w:rsidRPr="00ED7E5A">
        <w:rPr>
          <w:spacing w:val="-3"/>
        </w:rPr>
        <w:t xml:space="preserve">cautelarmente en procedimientos civiles o penales. Respecto de </w:t>
      </w:r>
      <w:r w:rsidR="00152C34">
        <w:rPr>
          <w:spacing w:val="-3"/>
        </w:rPr>
        <w:t>las acordadas en procedimientos penales</w:t>
      </w:r>
      <w:r w:rsidR="00C470BE" w:rsidRPr="00ED7E5A">
        <w:rPr>
          <w:spacing w:val="-3"/>
        </w:rPr>
        <w:t xml:space="preserve">, el </w:t>
      </w:r>
      <w:r w:rsidR="00B95139" w:rsidRPr="00ED7E5A">
        <w:rPr>
          <w:spacing w:val="-3"/>
        </w:rPr>
        <w:t xml:space="preserve">artículo 20 de la Ley Hipotecaria prevé en su último párrafo que “en los procedimientos criminales y en los de decomiso podrá tomarse anotación de </w:t>
      </w:r>
      <w:r w:rsidR="00ED7E5A" w:rsidRPr="00ED7E5A">
        <w:rPr>
          <w:spacing w:val="-3"/>
        </w:rPr>
        <w:t xml:space="preserve">embargo preventivo o </w:t>
      </w:r>
      <w:r w:rsidR="00B95139" w:rsidRPr="00ED7E5A">
        <w:rPr>
          <w:spacing w:val="-3"/>
        </w:rPr>
        <w:t>prohibición de disponer de los bienes, como medida cautelar, cuando a juicio del juez o tribunal existan indicios racionales de que el verdadero titular de los mismos es el encausado”.</w:t>
      </w:r>
    </w:p>
    <w:p w14:paraId="53042E47" w14:textId="797E00AC" w:rsidR="00CC27B2" w:rsidRPr="00ED7E5A" w:rsidRDefault="003F09E5" w:rsidP="00ED7E5A">
      <w:pPr>
        <w:pStyle w:val="Prrafodelista"/>
        <w:numPr>
          <w:ilvl w:val="0"/>
          <w:numId w:val="24"/>
        </w:numPr>
        <w:spacing w:before="120" w:after="120" w:line="360" w:lineRule="auto"/>
        <w:ind w:left="993" w:hanging="284"/>
        <w:jc w:val="both"/>
        <w:rPr>
          <w:spacing w:val="-3"/>
        </w:rPr>
      </w:pPr>
      <w:r w:rsidRPr="00ED7E5A">
        <w:rPr>
          <w:spacing w:val="-3"/>
        </w:rPr>
        <w:t xml:space="preserve">Cuando se constituya una hipoteca en garantía de una prohibición voluntaria establecida en acto a título oneroso, el artículo 57 del Reglamento Hipotecario prevé que </w:t>
      </w:r>
      <w:r w:rsidR="00CC27B2" w:rsidRPr="00ED7E5A">
        <w:rPr>
          <w:spacing w:val="-3"/>
        </w:rPr>
        <w:t xml:space="preserve">se inscribirán en un solo asiento el acto o contrato que contenga </w:t>
      </w:r>
      <w:r w:rsidR="00C1045D" w:rsidRPr="00ED7E5A">
        <w:rPr>
          <w:spacing w:val="-3"/>
        </w:rPr>
        <w:t xml:space="preserve">la prohibición </w:t>
      </w:r>
      <w:r w:rsidR="00CC27B2" w:rsidRPr="00ED7E5A">
        <w:rPr>
          <w:spacing w:val="-3"/>
        </w:rPr>
        <w:t>y la hipoteca que se constituya, y se hará constar que se deniega la inscripción de la prohibición de disponer.</w:t>
      </w:r>
    </w:p>
    <w:p w14:paraId="18C098D8" w14:textId="2FB4606D" w:rsidR="000F644F" w:rsidRDefault="000F644F" w:rsidP="00CF224F">
      <w:pPr>
        <w:spacing w:before="120" w:after="120" w:line="360" w:lineRule="auto"/>
        <w:ind w:firstLine="708"/>
        <w:jc w:val="both"/>
        <w:rPr>
          <w:spacing w:val="-3"/>
        </w:rPr>
      </w:pPr>
    </w:p>
    <w:p w14:paraId="35E3F3CA" w14:textId="77777777" w:rsidR="000F644F" w:rsidRDefault="000F644F" w:rsidP="00CF224F">
      <w:pPr>
        <w:spacing w:before="120" w:after="120" w:line="360" w:lineRule="auto"/>
        <w:ind w:firstLine="708"/>
        <w:jc w:val="both"/>
        <w:rPr>
          <w:spacing w:val="-3"/>
        </w:rPr>
      </w:pPr>
    </w:p>
    <w:p w14:paraId="4624B7FF" w14:textId="77777777" w:rsidR="00096B12" w:rsidRDefault="00096B12" w:rsidP="00CF224F">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D90F3D2" w:rsidR="005726E8" w:rsidRPr="00FF4CC7" w:rsidRDefault="00622B21" w:rsidP="009C4B47">
      <w:pPr>
        <w:spacing w:before="120" w:after="120" w:line="360" w:lineRule="auto"/>
        <w:ind w:firstLine="708"/>
        <w:jc w:val="right"/>
        <w:rPr>
          <w:spacing w:val="-3"/>
        </w:rPr>
      </w:pPr>
      <w:r>
        <w:rPr>
          <w:spacing w:val="-3"/>
        </w:rPr>
        <w:t>27</w:t>
      </w:r>
      <w:r w:rsidR="00FC39A8">
        <w:rPr>
          <w:spacing w:val="-3"/>
        </w:rPr>
        <w:t xml:space="preserve"> de </w:t>
      </w:r>
      <w:r>
        <w:rPr>
          <w:spacing w:val="-3"/>
        </w:rPr>
        <w:t>agost</w:t>
      </w:r>
      <w:r w:rsidR="00445835">
        <w:rPr>
          <w:spacing w:val="-3"/>
        </w:rPr>
        <w:t>o</w:t>
      </w:r>
      <w:r w:rsidR="00FC39A8">
        <w:rPr>
          <w:spacing w:val="-3"/>
        </w:rPr>
        <w:t xml:space="preserve"> de 202</w:t>
      </w:r>
      <w:r>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125FF4" w14:textId="77777777" w:rsidR="00E212CC" w:rsidRDefault="00E212CC" w:rsidP="00DB250B">
      <w:r>
        <w:separator/>
      </w:r>
    </w:p>
  </w:endnote>
  <w:endnote w:type="continuationSeparator" w:id="0">
    <w:p w14:paraId="7053B36C" w14:textId="77777777" w:rsidR="00E212CC" w:rsidRDefault="00E212CC"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0FF392EC" w:rsidR="001E237F" w:rsidRDefault="001E237F" w:rsidP="008D7FC1">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42893" w14:textId="77777777" w:rsidR="00E212CC" w:rsidRDefault="00E212CC" w:rsidP="00DB250B">
      <w:r>
        <w:separator/>
      </w:r>
    </w:p>
  </w:footnote>
  <w:footnote w:type="continuationSeparator" w:id="0">
    <w:p w14:paraId="5382BEAA" w14:textId="77777777" w:rsidR="00E212CC" w:rsidRDefault="00E212CC"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8091490"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E54005"/>
    <w:multiLevelType w:val="hybridMultilevel"/>
    <w:tmpl w:val="934C6F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79B7D10"/>
    <w:multiLevelType w:val="hybridMultilevel"/>
    <w:tmpl w:val="5296BF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79C2EE9"/>
    <w:multiLevelType w:val="hybridMultilevel"/>
    <w:tmpl w:val="A544C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93135B8"/>
    <w:multiLevelType w:val="hybridMultilevel"/>
    <w:tmpl w:val="44200F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07E2E1F"/>
    <w:multiLevelType w:val="hybridMultilevel"/>
    <w:tmpl w:val="1BF84C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40806CF"/>
    <w:multiLevelType w:val="hybridMultilevel"/>
    <w:tmpl w:val="CB94AA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9044821"/>
    <w:multiLevelType w:val="hybridMultilevel"/>
    <w:tmpl w:val="AB321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A7C0626"/>
    <w:multiLevelType w:val="hybridMultilevel"/>
    <w:tmpl w:val="1172883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6EC41AF"/>
    <w:multiLevelType w:val="hybridMultilevel"/>
    <w:tmpl w:val="4F7A8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7B97059"/>
    <w:multiLevelType w:val="hybridMultilevel"/>
    <w:tmpl w:val="912260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8F54611"/>
    <w:multiLevelType w:val="hybridMultilevel"/>
    <w:tmpl w:val="688897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9842D93"/>
    <w:multiLevelType w:val="hybridMultilevel"/>
    <w:tmpl w:val="4C0CD8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D33143E"/>
    <w:multiLevelType w:val="hybridMultilevel"/>
    <w:tmpl w:val="637864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4860A3F"/>
    <w:multiLevelType w:val="hybridMultilevel"/>
    <w:tmpl w:val="93744F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2501CAF"/>
    <w:multiLevelType w:val="hybridMultilevel"/>
    <w:tmpl w:val="34C48C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7006D8C"/>
    <w:multiLevelType w:val="hybridMultilevel"/>
    <w:tmpl w:val="CFDCBD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CF72A24"/>
    <w:multiLevelType w:val="hybridMultilevel"/>
    <w:tmpl w:val="B07874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14B4028"/>
    <w:multiLevelType w:val="hybridMultilevel"/>
    <w:tmpl w:val="11F895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4BB2457"/>
    <w:multiLevelType w:val="hybridMultilevel"/>
    <w:tmpl w:val="8B92EED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D0D64C2"/>
    <w:multiLevelType w:val="hybridMultilevel"/>
    <w:tmpl w:val="5DC266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6915B7C"/>
    <w:multiLevelType w:val="hybridMultilevel"/>
    <w:tmpl w:val="CAE8B8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7B112E2"/>
    <w:multiLevelType w:val="hybridMultilevel"/>
    <w:tmpl w:val="56EACA8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7C6315E"/>
    <w:multiLevelType w:val="hybridMultilevel"/>
    <w:tmpl w:val="3DFC6C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B22241C"/>
    <w:multiLevelType w:val="hybridMultilevel"/>
    <w:tmpl w:val="E65E67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C8D1152"/>
    <w:multiLevelType w:val="hybridMultilevel"/>
    <w:tmpl w:val="36968DE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643466464">
    <w:abstractNumId w:val="0"/>
  </w:num>
  <w:num w:numId="2" w16cid:durableId="387147965">
    <w:abstractNumId w:val="18"/>
  </w:num>
  <w:num w:numId="3" w16cid:durableId="1579947918">
    <w:abstractNumId w:val="21"/>
  </w:num>
  <w:num w:numId="4" w16cid:durableId="1919749853">
    <w:abstractNumId w:val="24"/>
  </w:num>
  <w:num w:numId="5" w16cid:durableId="141849045">
    <w:abstractNumId w:val="5"/>
  </w:num>
  <w:num w:numId="6" w16cid:durableId="1477843857">
    <w:abstractNumId w:val="8"/>
  </w:num>
  <w:num w:numId="7" w16cid:durableId="698050309">
    <w:abstractNumId w:val="22"/>
  </w:num>
  <w:num w:numId="8" w16cid:durableId="2059166261">
    <w:abstractNumId w:val="10"/>
  </w:num>
  <w:num w:numId="9" w16cid:durableId="1978993995">
    <w:abstractNumId w:val="19"/>
  </w:num>
  <w:num w:numId="10" w16cid:durableId="1074162868">
    <w:abstractNumId w:val="9"/>
  </w:num>
  <w:num w:numId="11" w16cid:durableId="1108306387">
    <w:abstractNumId w:val="7"/>
  </w:num>
  <w:num w:numId="12" w16cid:durableId="1720011572">
    <w:abstractNumId w:val="15"/>
  </w:num>
  <w:num w:numId="13" w16cid:durableId="1113944224">
    <w:abstractNumId w:val="3"/>
  </w:num>
  <w:num w:numId="14" w16cid:durableId="1882208078">
    <w:abstractNumId w:val="20"/>
  </w:num>
  <w:num w:numId="15" w16cid:durableId="1845630740">
    <w:abstractNumId w:val="4"/>
  </w:num>
  <w:num w:numId="16" w16cid:durableId="42336516">
    <w:abstractNumId w:val="14"/>
  </w:num>
  <w:num w:numId="17" w16cid:durableId="1397818440">
    <w:abstractNumId w:val="23"/>
  </w:num>
  <w:num w:numId="18" w16cid:durableId="1306012008">
    <w:abstractNumId w:val="2"/>
  </w:num>
  <w:num w:numId="19" w16cid:durableId="446192962">
    <w:abstractNumId w:val="11"/>
  </w:num>
  <w:num w:numId="20" w16cid:durableId="1107043077">
    <w:abstractNumId w:val="17"/>
  </w:num>
  <w:num w:numId="21" w16cid:durableId="88550103">
    <w:abstractNumId w:val="13"/>
  </w:num>
  <w:num w:numId="22" w16cid:durableId="1009673464">
    <w:abstractNumId w:val="25"/>
  </w:num>
  <w:num w:numId="23" w16cid:durableId="789860009">
    <w:abstractNumId w:val="12"/>
  </w:num>
  <w:num w:numId="24" w16cid:durableId="738753818">
    <w:abstractNumId w:val="1"/>
  </w:num>
  <w:num w:numId="25" w16cid:durableId="247234004">
    <w:abstractNumId w:val="16"/>
  </w:num>
  <w:num w:numId="26" w16cid:durableId="120994813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4B68"/>
    <w:rsid w:val="00005313"/>
    <w:rsid w:val="000054B5"/>
    <w:rsid w:val="000062B4"/>
    <w:rsid w:val="0000678D"/>
    <w:rsid w:val="00006A81"/>
    <w:rsid w:val="00006D58"/>
    <w:rsid w:val="000074F6"/>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583A"/>
    <w:rsid w:val="00035C07"/>
    <w:rsid w:val="0003603C"/>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9C2"/>
    <w:rsid w:val="000B6A08"/>
    <w:rsid w:val="000B6C6D"/>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77E"/>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CFC"/>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44F"/>
    <w:rsid w:val="000F65B3"/>
    <w:rsid w:val="000F6ECA"/>
    <w:rsid w:val="000F7EF0"/>
    <w:rsid w:val="000F7F49"/>
    <w:rsid w:val="000F7FF8"/>
    <w:rsid w:val="001002D7"/>
    <w:rsid w:val="001008B0"/>
    <w:rsid w:val="001009E5"/>
    <w:rsid w:val="00100B0C"/>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C34"/>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3A1"/>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A63"/>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4DA6"/>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601"/>
    <w:rsid w:val="00210718"/>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4E9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066"/>
    <w:rsid w:val="0031540E"/>
    <w:rsid w:val="00315559"/>
    <w:rsid w:val="0031586B"/>
    <w:rsid w:val="00315A95"/>
    <w:rsid w:val="00315E46"/>
    <w:rsid w:val="00315E7D"/>
    <w:rsid w:val="00316077"/>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9BC"/>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9C"/>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5E5"/>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9A6"/>
    <w:rsid w:val="00416C5A"/>
    <w:rsid w:val="00417681"/>
    <w:rsid w:val="00417FDA"/>
    <w:rsid w:val="0042037F"/>
    <w:rsid w:val="004204D9"/>
    <w:rsid w:val="004207FE"/>
    <w:rsid w:val="00420850"/>
    <w:rsid w:val="004211C7"/>
    <w:rsid w:val="00421299"/>
    <w:rsid w:val="004215E7"/>
    <w:rsid w:val="00421635"/>
    <w:rsid w:val="004219C3"/>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812"/>
    <w:rsid w:val="004A6930"/>
    <w:rsid w:val="004A6C24"/>
    <w:rsid w:val="004A6F7A"/>
    <w:rsid w:val="004B0208"/>
    <w:rsid w:val="004B0B18"/>
    <w:rsid w:val="004B17D3"/>
    <w:rsid w:val="004B1B98"/>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773"/>
    <w:rsid w:val="004C0ACB"/>
    <w:rsid w:val="004C141B"/>
    <w:rsid w:val="004C1498"/>
    <w:rsid w:val="004C1C9C"/>
    <w:rsid w:val="004C1E68"/>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DA1"/>
    <w:rsid w:val="00545E92"/>
    <w:rsid w:val="005465B9"/>
    <w:rsid w:val="00546995"/>
    <w:rsid w:val="00546F7E"/>
    <w:rsid w:val="0054717A"/>
    <w:rsid w:val="005474A5"/>
    <w:rsid w:val="00550003"/>
    <w:rsid w:val="005503E6"/>
    <w:rsid w:val="0055049A"/>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A3D"/>
    <w:rsid w:val="00556A68"/>
    <w:rsid w:val="00557006"/>
    <w:rsid w:val="0055750A"/>
    <w:rsid w:val="00557554"/>
    <w:rsid w:val="00557F55"/>
    <w:rsid w:val="00560BBF"/>
    <w:rsid w:val="00561A7A"/>
    <w:rsid w:val="00562871"/>
    <w:rsid w:val="00562937"/>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8BE"/>
    <w:rsid w:val="00567D14"/>
    <w:rsid w:val="00567ED3"/>
    <w:rsid w:val="00570662"/>
    <w:rsid w:val="00570672"/>
    <w:rsid w:val="00570BCA"/>
    <w:rsid w:val="0057113E"/>
    <w:rsid w:val="00571659"/>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FF3"/>
    <w:rsid w:val="00592047"/>
    <w:rsid w:val="005922D7"/>
    <w:rsid w:val="00592539"/>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5F87"/>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833"/>
    <w:rsid w:val="005C29DC"/>
    <w:rsid w:val="005C2E7C"/>
    <w:rsid w:val="005C3282"/>
    <w:rsid w:val="005C3414"/>
    <w:rsid w:val="005C3531"/>
    <w:rsid w:val="005C386E"/>
    <w:rsid w:val="005C3A11"/>
    <w:rsid w:val="005C4340"/>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959"/>
    <w:rsid w:val="00602E87"/>
    <w:rsid w:val="00603A23"/>
    <w:rsid w:val="006041A4"/>
    <w:rsid w:val="0060444A"/>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21"/>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771"/>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C0F"/>
    <w:rsid w:val="00651F50"/>
    <w:rsid w:val="0065265C"/>
    <w:rsid w:val="0065292D"/>
    <w:rsid w:val="00652E95"/>
    <w:rsid w:val="00652F0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32"/>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6B0"/>
    <w:rsid w:val="00687260"/>
    <w:rsid w:val="006873A6"/>
    <w:rsid w:val="0068770A"/>
    <w:rsid w:val="00687D0A"/>
    <w:rsid w:val="00687D63"/>
    <w:rsid w:val="00690501"/>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7FE"/>
    <w:rsid w:val="006C08A6"/>
    <w:rsid w:val="006C08D3"/>
    <w:rsid w:val="006C0A0A"/>
    <w:rsid w:val="006C0D94"/>
    <w:rsid w:val="006C0FED"/>
    <w:rsid w:val="006C10C8"/>
    <w:rsid w:val="006C130C"/>
    <w:rsid w:val="006C16A0"/>
    <w:rsid w:val="006C18A6"/>
    <w:rsid w:val="006C2599"/>
    <w:rsid w:val="006C2796"/>
    <w:rsid w:val="006C2B54"/>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5BB"/>
    <w:rsid w:val="007069CE"/>
    <w:rsid w:val="00706B79"/>
    <w:rsid w:val="00706C65"/>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41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412"/>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4C2D"/>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4F6"/>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441F"/>
    <w:rsid w:val="007C4FE0"/>
    <w:rsid w:val="007C52AF"/>
    <w:rsid w:val="007C5521"/>
    <w:rsid w:val="007C561D"/>
    <w:rsid w:val="007C562F"/>
    <w:rsid w:val="007C5658"/>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F09"/>
    <w:rsid w:val="00800320"/>
    <w:rsid w:val="008009C0"/>
    <w:rsid w:val="0080137E"/>
    <w:rsid w:val="0080186E"/>
    <w:rsid w:val="00801D1B"/>
    <w:rsid w:val="00801E17"/>
    <w:rsid w:val="00802164"/>
    <w:rsid w:val="00802DC9"/>
    <w:rsid w:val="008031D6"/>
    <w:rsid w:val="00803231"/>
    <w:rsid w:val="0080345E"/>
    <w:rsid w:val="00803B34"/>
    <w:rsid w:val="00803CFB"/>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007"/>
    <w:rsid w:val="008743F5"/>
    <w:rsid w:val="00875026"/>
    <w:rsid w:val="00875EF2"/>
    <w:rsid w:val="0087628A"/>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6169"/>
    <w:rsid w:val="008A61B3"/>
    <w:rsid w:val="008A71A5"/>
    <w:rsid w:val="008A72AD"/>
    <w:rsid w:val="008A742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C64"/>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498"/>
    <w:rsid w:val="008C772C"/>
    <w:rsid w:val="008C7822"/>
    <w:rsid w:val="008C7A26"/>
    <w:rsid w:val="008C7B20"/>
    <w:rsid w:val="008D0030"/>
    <w:rsid w:val="008D054E"/>
    <w:rsid w:val="008D061B"/>
    <w:rsid w:val="008D06DF"/>
    <w:rsid w:val="008D08E0"/>
    <w:rsid w:val="008D09D5"/>
    <w:rsid w:val="008D0C0D"/>
    <w:rsid w:val="008D10BD"/>
    <w:rsid w:val="008D11A7"/>
    <w:rsid w:val="008D13CF"/>
    <w:rsid w:val="008D1777"/>
    <w:rsid w:val="008D17DC"/>
    <w:rsid w:val="008D1845"/>
    <w:rsid w:val="008D2651"/>
    <w:rsid w:val="008D2BF7"/>
    <w:rsid w:val="008D2DE6"/>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D7FC1"/>
    <w:rsid w:val="008E0190"/>
    <w:rsid w:val="008E05BA"/>
    <w:rsid w:val="008E0683"/>
    <w:rsid w:val="008E0704"/>
    <w:rsid w:val="008E08DC"/>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924"/>
    <w:rsid w:val="008E74D2"/>
    <w:rsid w:val="008E751F"/>
    <w:rsid w:val="008E76AA"/>
    <w:rsid w:val="008E7BC3"/>
    <w:rsid w:val="008F0CCF"/>
    <w:rsid w:val="008F1C1A"/>
    <w:rsid w:val="008F21F5"/>
    <w:rsid w:val="008F2269"/>
    <w:rsid w:val="008F2533"/>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7CA"/>
    <w:rsid w:val="00900950"/>
    <w:rsid w:val="00900CFF"/>
    <w:rsid w:val="00900DA8"/>
    <w:rsid w:val="00900DEA"/>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65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C8"/>
    <w:rsid w:val="00972540"/>
    <w:rsid w:val="00972FA1"/>
    <w:rsid w:val="0097325F"/>
    <w:rsid w:val="00973268"/>
    <w:rsid w:val="00973479"/>
    <w:rsid w:val="00973614"/>
    <w:rsid w:val="00973CF4"/>
    <w:rsid w:val="0097401F"/>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7029"/>
    <w:rsid w:val="009871FD"/>
    <w:rsid w:val="009873D0"/>
    <w:rsid w:val="00987822"/>
    <w:rsid w:val="00987862"/>
    <w:rsid w:val="00987C2A"/>
    <w:rsid w:val="00987D8E"/>
    <w:rsid w:val="00987E9F"/>
    <w:rsid w:val="0099038B"/>
    <w:rsid w:val="0099058A"/>
    <w:rsid w:val="00991068"/>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992"/>
    <w:rsid w:val="009A6CA2"/>
    <w:rsid w:val="009A6F6E"/>
    <w:rsid w:val="009B01FC"/>
    <w:rsid w:val="009B0394"/>
    <w:rsid w:val="009B0659"/>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2A"/>
    <w:rsid w:val="009C2150"/>
    <w:rsid w:val="009C21D2"/>
    <w:rsid w:val="009C2867"/>
    <w:rsid w:val="009C30FB"/>
    <w:rsid w:val="009C3100"/>
    <w:rsid w:val="009C3260"/>
    <w:rsid w:val="009C333A"/>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557"/>
    <w:rsid w:val="00A066E1"/>
    <w:rsid w:val="00A06FDF"/>
    <w:rsid w:val="00A101C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41E6"/>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4D"/>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28E"/>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28C4"/>
    <w:rsid w:val="00B53021"/>
    <w:rsid w:val="00B535AC"/>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221"/>
    <w:rsid w:val="00B633E4"/>
    <w:rsid w:val="00B63655"/>
    <w:rsid w:val="00B63A43"/>
    <w:rsid w:val="00B640A1"/>
    <w:rsid w:val="00B640AD"/>
    <w:rsid w:val="00B64509"/>
    <w:rsid w:val="00B64827"/>
    <w:rsid w:val="00B648D0"/>
    <w:rsid w:val="00B64B9D"/>
    <w:rsid w:val="00B64C9E"/>
    <w:rsid w:val="00B64F65"/>
    <w:rsid w:val="00B65A40"/>
    <w:rsid w:val="00B65D1E"/>
    <w:rsid w:val="00B65E4F"/>
    <w:rsid w:val="00B65FE4"/>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1760C"/>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0B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9A5"/>
    <w:rsid w:val="00CA34DA"/>
    <w:rsid w:val="00CA4014"/>
    <w:rsid w:val="00CA416A"/>
    <w:rsid w:val="00CA486B"/>
    <w:rsid w:val="00CA4BDB"/>
    <w:rsid w:val="00CA4FAE"/>
    <w:rsid w:val="00CA5018"/>
    <w:rsid w:val="00CA542B"/>
    <w:rsid w:val="00CA5C5A"/>
    <w:rsid w:val="00CA5D05"/>
    <w:rsid w:val="00CA7161"/>
    <w:rsid w:val="00CA7B1F"/>
    <w:rsid w:val="00CB02AD"/>
    <w:rsid w:val="00CB08AB"/>
    <w:rsid w:val="00CB0C61"/>
    <w:rsid w:val="00CB0DA6"/>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3E86"/>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7B2"/>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282"/>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4616"/>
    <w:rsid w:val="00D74A09"/>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7AA"/>
    <w:rsid w:val="00D8188D"/>
    <w:rsid w:val="00D81A20"/>
    <w:rsid w:val="00D81E13"/>
    <w:rsid w:val="00D81F99"/>
    <w:rsid w:val="00D81FBD"/>
    <w:rsid w:val="00D82075"/>
    <w:rsid w:val="00D82616"/>
    <w:rsid w:val="00D82896"/>
    <w:rsid w:val="00D82F20"/>
    <w:rsid w:val="00D8333B"/>
    <w:rsid w:val="00D83556"/>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475"/>
    <w:rsid w:val="00DA58B7"/>
    <w:rsid w:val="00DA5BA0"/>
    <w:rsid w:val="00DA5EF5"/>
    <w:rsid w:val="00DA5F30"/>
    <w:rsid w:val="00DA6FC4"/>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2CC"/>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D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E44"/>
    <w:rsid w:val="00E440C2"/>
    <w:rsid w:val="00E44390"/>
    <w:rsid w:val="00E4573B"/>
    <w:rsid w:val="00E4577E"/>
    <w:rsid w:val="00E463D3"/>
    <w:rsid w:val="00E46C9C"/>
    <w:rsid w:val="00E46DCC"/>
    <w:rsid w:val="00E46E6E"/>
    <w:rsid w:val="00E46F81"/>
    <w:rsid w:val="00E471C2"/>
    <w:rsid w:val="00E471C6"/>
    <w:rsid w:val="00E473A3"/>
    <w:rsid w:val="00E476C5"/>
    <w:rsid w:val="00E47DE8"/>
    <w:rsid w:val="00E501C4"/>
    <w:rsid w:val="00E503CB"/>
    <w:rsid w:val="00E5063A"/>
    <w:rsid w:val="00E50836"/>
    <w:rsid w:val="00E50AC0"/>
    <w:rsid w:val="00E52679"/>
    <w:rsid w:val="00E52FD5"/>
    <w:rsid w:val="00E53995"/>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BD6"/>
    <w:rsid w:val="00EE4C4F"/>
    <w:rsid w:val="00EE5903"/>
    <w:rsid w:val="00EE5F9D"/>
    <w:rsid w:val="00EE629D"/>
    <w:rsid w:val="00EE6526"/>
    <w:rsid w:val="00EE6644"/>
    <w:rsid w:val="00EE6924"/>
    <w:rsid w:val="00EE699A"/>
    <w:rsid w:val="00EE6B24"/>
    <w:rsid w:val="00EE6D9C"/>
    <w:rsid w:val="00EE7062"/>
    <w:rsid w:val="00EE75BA"/>
    <w:rsid w:val="00EE797B"/>
    <w:rsid w:val="00EE7A0A"/>
    <w:rsid w:val="00EF0075"/>
    <w:rsid w:val="00EF040B"/>
    <w:rsid w:val="00EF042C"/>
    <w:rsid w:val="00EF056B"/>
    <w:rsid w:val="00EF0C2B"/>
    <w:rsid w:val="00EF0C48"/>
    <w:rsid w:val="00EF1446"/>
    <w:rsid w:val="00EF1892"/>
    <w:rsid w:val="00EF191A"/>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671"/>
    <w:rsid w:val="00F169D3"/>
    <w:rsid w:val="00F16AC5"/>
    <w:rsid w:val="00F16CC4"/>
    <w:rsid w:val="00F16F04"/>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F1"/>
    <w:rsid w:val="00F54B16"/>
    <w:rsid w:val="00F55465"/>
    <w:rsid w:val="00F55687"/>
    <w:rsid w:val="00F5603B"/>
    <w:rsid w:val="00F5614D"/>
    <w:rsid w:val="00F56158"/>
    <w:rsid w:val="00F569BA"/>
    <w:rsid w:val="00F56A0C"/>
    <w:rsid w:val="00F56AB7"/>
    <w:rsid w:val="00F5720D"/>
    <w:rsid w:val="00F57811"/>
    <w:rsid w:val="00F579C2"/>
    <w:rsid w:val="00F57AEC"/>
    <w:rsid w:val="00F57D5D"/>
    <w:rsid w:val="00F60153"/>
    <w:rsid w:val="00F603D4"/>
    <w:rsid w:val="00F609C6"/>
    <w:rsid w:val="00F60BF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678"/>
    <w:rsid w:val="00FB6700"/>
    <w:rsid w:val="00FB6CA4"/>
    <w:rsid w:val="00FB71FA"/>
    <w:rsid w:val="00FB72CF"/>
    <w:rsid w:val="00FB7790"/>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5</Pages>
  <Words>1542</Words>
  <Characters>8483</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65</cp:revision>
  <dcterms:created xsi:type="dcterms:W3CDTF">2022-02-15T08:18:00Z</dcterms:created>
  <dcterms:modified xsi:type="dcterms:W3CDTF">2024-08-27T08:09:00Z</dcterms:modified>
</cp:coreProperties>
</file>