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1D4140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CB7F2A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90B5B3A" w:rsidR="00BC4945" w:rsidRPr="00BC4945" w:rsidRDefault="00CB7F2A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9734863"/>
      <w:bookmarkStart w:id="1" w:name="_Hlk87030925"/>
      <w:bookmarkStart w:id="2" w:name="_Hlk76725034"/>
      <w:bookmarkStart w:id="3" w:name="_Hlk77851818"/>
      <w:bookmarkStart w:id="4" w:name="_Hlk86421363"/>
      <w:r w:rsidRPr="00CB7F2A">
        <w:rPr>
          <w:b/>
          <w:bCs/>
          <w:color w:val="000000"/>
          <w:sz w:val="28"/>
          <w:szCs w:val="28"/>
        </w:rPr>
        <w:t>RÉGIMEN JURÍDICO DE LA TRANSFORMACIÓN, FUSIÓN Y ESCISIÓN DE SOCIEDADES MERCANTILES</w:t>
      </w:r>
      <w:bookmarkEnd w:id="0"/>
      <w:r w:rsidRPr="00CB7F2A">
        <w:rPr>
          <w:b/>
          <w:bCs/>
          <w:color w:val="000000"/>
          <w:sz w:val="28"/>
          <w:szCs w:val="28"/>
        </w:rPr>
        <w:t>. CESIÓN GLOBAL DE ACTIVO Y PASIVO. TRASLADO INTERNACIONAL DEL DOMICILIO SOCIAL</w:t>
      </w:r>
      <w:r w:rsidRPr="00254D46">
        <w:rPr>
          <w:b/>
          <w:bCs/>
          <w:color w:val="000000"/>
          <w:sz w:val="28"/>
          <w:szCs w:val="28"/>
        </w:rPr>
        <w:t>.</w:t>
      </w:r>
      <w:bookmarkEnd w:id="1"/>
    </w:p>
    <w:bookmarkEnd w:id="2"/>
    <w:bookmarkEnd w:id="3"/>
    <w:bookmarkEnd w:id="4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6822E373" w:rsidR="003D70B2" w:rsidRPr="00AA6561" w:rsidRDefault="00CB7F2A" w:rsidP="003F2C0C">
      <w:pPr>
        <w:spacing w:before="120" w:after="120" w:line="360" w:lineRule="auto"/>
        <w:jc w:val="both"/>
        <w:rPr>
          <w:bCs/>
          <w:spacing w:val="-3"/>
        </w:rPr>
      </w:pPr>
      <w:r w:rsidRPr="00CB7F2A">
        <w:rPr>
          <w:b/>
          <w:bCs/>
          <w:color w:val="000000"/>
        </w:rPr>
        <w:t>RÉGIMEN JURÍDICO DE LA TRANSFORMACIÓN, FUSIÓN Y ESCISIÓN DE SOCIEDADES MERCANTILES</w:t>
      </w:r>
      <w:r w:rsidR="00AA6561" w:rsidRPr="00AA6561">
        <w:rPr>
          <w:b/>
          <w:bCs/>
          <w:color w:val="000000"/>
        </w:rPr>
        <w:t>.</w:t>
      </w:r>
    </w:p>
    <w:p w14:paraId="6E0A78E4" w14:textId="7C17962E" w:rsidR="00534644" w:rsidRPr="00CB7F2A" w:rsidRDefault="00CB7F2A" w:rsidP="005346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7F2A">
        <w:rPr>
          <w:bCs/>
          <w:spacing w:val="-3"/>
        </w:rPr>
        <w:t>La</w:t>
      </w:r>
      <w:r w:rsidR="002E3937">
        <w:rPr>
          <w:bCs/>
          <w:spacing w:val="-3"/>
        </w:rPr>
        <w:t>s</w:t>
      </w:r>
      <w:r w:rsidRPr="00CB7F2A">
        <w:rPr>
          <w:bCs/>
          <w:spacing w:val="-3"/>
        </w:rPr>
        <w:t xml:space="preserve"> </w:t>
      </w:r>
      <w:r w:rsidR="0017542D">
        <w:rPr>
          <w:bCs/>
          <w:spacing w:val="-3"/>
        </w:rPr>
        <w:t>m</w:t>
      </w:r>
      <w:r w:rsidRPr="00CB7F2A">
        <w:rPr>
          <w:bCs/>
          <w:spacing w:val="-3"/>
        </w:rPr>
        <w:t xml:space="preserve">odificaciones </w:t>
      </w:r>
      <w:r w:rsidR="0017542D">
        <w:rPr>
          <w:bCs/>
          <w:spacing w:val="-3"/>
        </w:rPr>
        <w:t>e</w:t>
      </w:r>
      <w:r w:rsidRPr="00CB7F2A">
        <w:rPr>
          <w:bCs/>
          <w:spacing w:val="-3"/>
        </w:rPr>
        <w:t>structurales de la</w:t>
      </w:r>
      <w:r w:rsidR="002E3937">
        <w:rPr>
          <w:bCs/>
          <w:spacing w:val="-3"/>
        </w:rPr>
        <w:t>s</w:t>
      </w:r>
      <w:r w:rsidRPr="00CB7F2A">
        <w:rPr>
          <w:bCs/>
          <w:spacing w:val="-3"/>
        </w:rPr>
        <w:t xml:space="preserve"> </w:t>
      </w:r>
      <w:r w:rsidR="0017542D">
        <w:rPr>
          <w:bCs/>
          <w:spacing w:val="-3"/>
        </w:rPr>
        <w:t>s</w:t>
      </w:r>
      <w:r w:rsidRPr="00CB7F2A">
        <w:rPr>
          <w:bCs/>
          <w:spacing w:val="-3"/>
        </w:rPr>
        <w:t>ociedad</w:t>
      </w:r>
      <w:r w:rsidR="002E3937">
        <w:rPr>
          <w:bCs/>
          <w:spacing w:val="-3"/>
        </w:rPr>
        <w:t>es</w:t>
      </w:r>
      <w:r w:rsidRPr="00CB7F2A">
        <w:rPr>
          <w:bCs/>
          <w:spacing w:val="-3"/>
        </w:rPr>
        <w:t xml:space="preserve"> </w:t>
      </w:r>
      <w:r w:rsidR="0017542D">
        <w:rPr>
          <w:bCs/>
          <w:spacing w:val="-3"/>
        </w:rPr>
        <w:t>m</w:t>
      </w:r>
      <w:r w:rsidR="002E3937">
        <w:rPr>
          <w:bCs/>
          <w:spacing w:val="-3"/>
        </w:rPr>
        <w:t>ercantiles están regulada</w:t>
      </w:r>
      <w:r w:rsidR="0017542D">
        <w:rPr>
          <w:bCs/>
          <w:spacing w:val="-3"/>
        </w:rPr>
        <w:t>s</w:t>
      </w:r>
      <w:r w:rsidR="002E3937">
        <w:rPr>
          <w:bCs/>
          <w:spacing w:val="-3"/>
        </w:rPr>
        <w:t xml:space="preserve"> por </w:t>
      </w:r>
      <w:r w:rsidR="000F4F21">
        <w:rPr>
          <w:bCs/>
          <w:spacing w:val="-3"/>
        </w:rPr>
        <w:t xml:space="preserve">su propia Ley de 3 de abril de 2009, que </w:t>
      </w:r>
      <w:r w:rsidR="00C52F33">
        <w:rPr>
          <w:bCs/>
          <w:spacing w:val="-3"/>
        </w:rPr>
        <w:t xml:space="preserve">es </w:t>
      </w:r>
      <w:r w:rsidR="00E45447">
        <w:rPr>
          <w:bCs/>
          <w:spacing w:val="-3"/>
        </w:rPr>
        <w:t xml:space="preserve">aplicable a todas las sociedades mercantiles </w:t>
      </w:r>
      <w:r w:rsidR="0037769D">
        <w:rPr>
          <w:bCs/>
          <w:spacing w:val="-3"/>
        </w:rPr>
        <w:t xml:space="preserve">y </w:t>
      </w:r>
      <w:r w:rsidR="000F4F21">
        <w:rPr>
          <w:bCs/>
          <w:spacing w:val="-3"/>
        </w:rPr>
        <w:t>con</w:t>
      </w:r>
      <w:r w:rsidR="008B5180">
        <w:rPr>
          <w:bCs/>
          <w:spacing w:val="-3"/>
        </w:rPr>
        <w:t>sidera como tales las que se estudian en el presente tema</w:t>
      </w:r>
      <w:r w:rsidR="00534644">
        <w:rPr>
          <w:bCs/>
          <w:spacing w:val="-3"/>
        </w:rPr>
        <w:t>.</w:t>
      </w:r>
    </w:p>
    <w:p w14:paraId="03A90FE6" w14:textId="38A2A778" w:rsidR="00CB7F2A" w:rsidRDefault="00C656FE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el texto refundido de la Ley Concursal de </w:t>
      </w:r>
      <w:r w:rsidR="005F3246">
        <w:rPr>
          <w:bCs/>
          <w:spacing w:val="-3"/>
        </w:rPr>
        <w:t xml:space="preserve">5 de mayo de 2020 </w:t>
      </w:r>
      <w:r>
        <w:rPr>
          <w:bCs/>
          <w:spacing w:val="-3"/>
        </w:rPr>
        <w:t xml:space="preserve">prevé que el convenio con los acreedores puede </w:t>
      </w:r>
      <w:r w:rsidRPr="00C656FE">
        <w:rPr>
          <w:bCs/>
          <w:spacing w:val="-3"/>
        </w:rPr>
        <w:t>incluir la fusión, escisión o cesión global de activo y pasivo de la persona jurídica concursada</w:t>
      </w:r>
      <w:r w:rsidR="007B4F90">
        <w:rPr>
          <w:bCs/>
          <w:spacing w:val="-3"/>
        </w:rPr>
        <w:t>.</w:t>
      </w:r>
    </w:p>
    <w:p w14:paraId="7104DEE7" w14:textId="77777777" w:rsidR="007B4F90" w:rsidRDefault="007B4F90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BD9C7DA" w14:textId="6B40686F" w:rsidR="00CB7F2A" w:rsidRPr="0084384D" w:rsidRDefault="00CB7F2A" w:rsidP="00CB7F2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4384D">
        <w:rPr>
          <w:b/>
          <w:spacing w:val="-3"/>
        </w:rPr>
        <w:t>Transformación</w:t>
      </w:r>
      <w:r w:rsidR="00534644" w:rsidRPr="0084384D">
        <w:rPr>
          <w:b/>
          <w:spacing w:val="-3"/>
        </w:rPr>
        <w:t xml:space="preserve"> de sociedades mercantiles</w:t>
      </w:r>
      <w:r w:rsidRPr="0084384D">
        <w:rPr>
          <w:b/>
          <w:spacing w:val="-3"/>
        </w:rPr>
        <w:t>.</w:t>
      </w:r>
    </w:p>
    <w:p w14:paraId="4802372C" w14:textId="20F366C8" w:rsidR="0084384D" w:rsidRDefault="0084384D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CB7F2A" w:rsidRPr="00CB7F2A">
        <w:rPr>
          <w:bCs/>
          <w:spacing w:val="-3"/>
        </w:rPr>
        <w:t>a transformación</w:t>
      </w:r>
      <w:r>
        <w:rPr>
          <w:bCs/>
          <w:spacing w:val="-3"/>
        </w:rPr>
        <w:t xml:space="preserve"> de sociedades mercantiles está regulada por el Título I de la Ley, y sus </w:t>
      </w:r>
      <w:r w:rsidR="0037769D">
        <w:rPr>
          <w:bCs/>
          <w:spacing w:val="-3"/>
        </w:rPr>
        <w:t>características</w:t>
      </w:r>
      <w:r>
        <w:rPr>
          <w:bCs/>
          <w:spacing w:val="-3"/>
        </w:rPr>
        <w:t xml:space="preserve"> esenciales son las siguientes:</w:t>
      </w:r>
    </w:p>
    <w:p w14:paraId="2E72912A" w14:textId="4A7834C4" w:rsidR="003B3C27" w:rsidRDefault="0037769D" w:rsidP="00F71954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25EDE">
        <w:rPr>
          <w:bCs/>
          <w:spacing w:val="-3"/>
        </w:rPr>
        <w:t>L</w:t>
      </w:r>
      <w:r w:rsidR="003B3C27" w:rsidRPr="00425EDE">
        <w:rPr>
          <w:bCs/>
          <w:spacing w:val="-3"/>
        </w:rPr>
        <w:t xml:space="preserve">a transformación </w:t>
      </w:r>
      <w:r w:rsidRPr="00425EDE">
        <w:rPr>
          <w:bCs/>
          <w:spacing w:val="-3"/>
        </w:rPr>
        <w:t xml:space="preserve">es la adopción por </w:t>
      </w:r>
      <w:r w:rsidR="003B3C27" w:rsidRPr="00425EDE">
        <w:rPr>
          <w:bCs/>
          <w:spacing w:val="-3"/>
        </w:rPr>
        <w:t xml:space="preserve">una sociedad </w:t>
      </w:r>
      <w:r w:rsidRPr="00425EDE">
        <w:rPr>
          <w:bCs/>
          <w:spacing w:val="-3"/>
        </w:rPr>
        <w:t xml:space="preserve">de </w:t>
      </w:r>
      <w:r w:rsidR="003B3C27" w:rsidRPr="00425EDE">
        <w:rPr>
          <w:bCs/>
          <w:spacing w:val="-3"/>
        </w:rPr>
        <w:t xml:space="preserve">un tipo social distinto, </w:t>
      </w:r>
      <w:r w:rsidR="0085193F" w:rsidRPr="00425EDE">
        <w:rPr>
          <w:bCs/>
          <w:spacing w:val="-3"/>
        </w:rPr>
        <w:t xml:space="preserve">aplicándose </w:t>
      </w:r>
      <w:r w:rsidR="000D7B1E" w:rsidRPr="00425EDE">
        <w:rPr>
          <w:bCs/>
          <w:spacing w:val="-3"/>
        </w:rPr>
        <w:t xml:space="preserve">el régimen jurídico del nuevo tipo </w:t>
      </w:r>
      <w:proofErr w:type="gramStart"/>
      <w:r w:rsidR="000D7B1E" w:rsidRPr="00425EDE">
        <w:rPr>
          <w:bCs/>
          <w:spacing w:val="-3"/>
        </w:rPr>
        <w:t>elegido</w:t>
      </w:r>
      <w:proofErr w:type="gramEnd"/>
      <w:r w:rsidR="000D7B1E" w:rsidRPr="00425EDE">
        <w:rPr>
          <w:bCs/>
          <w:spacing w:val="-3"/>
        </w:rPr>
        <w:t xml:space="preserve"> pero </w:t>
      </w:r>
      <w:r w:rsidR="003B3C27" w:rsidRPr="00425EDE">
        <w:rPr>
          <w:bCs/>
          <w:spacing w:val="-3"/>
        </w:rPr>
        <w:t>conservando</w:t>
      </w:r>
      <w:r w:rsidR="000D7B1E" w:rsidRPr="00425EDE">
        <w:rPr>
          <w:bCs/>
          <w:spacing w:val="-3"/>
        </w:rPr>
        <w:t xml:space="preserve"> la sociedad</w:t>
      </w:r>
      <w:r w:rsidR="003B3C27" w:rsidRPr="00425EDE">
        <w:rPr>
          <w:bCs/>
          <w:spacing w:val="-3"/>
        </w:rPr>
        <w:t xml:space="preserve"> su personalidad jurídica.</w:t>
      </w:r>
    </w:p>
    <w:p w14:paraId="008D1302" w14:textId="78DE3A8B" w:rsidR="007672B1" w:rsidRPr="00425EDE" w:rsidRDefault="007672B1" w:rsidP="00C3294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Se conservan </w:t>
      </w:r>
      <w:r w:rsidR="00C32943">
        <w:rPr>
          <w:bCs/>
          <w:spacing w:val="-3"/>
        </w:rPr>
        <w:t>también las obligaciones de los socios respecto de la sociedad, salvo que se acuerde otra cosa.</w:t>
      </w:r>
    </w:p>
    <w:p w14:paraId="7C62F97F" w14:textId="046E12C8" w:rsidR="008D3CC1" w:rsidRPr="00C928D0" w:rsidRDefault="001901A0" w:rsidP="000441C8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928D0">
        <w:rPr>
          <w:bCs/>
          <w:spacing w:val="-3"/>
        </w:rPr>
        <w:t xml:space="preserve">Pueden </w:t>
      </w:r>
      <w:r w:rsidR="00644595" w:rsidRPr="00C928D0">
        <w:rPr>
          <w:bCs/>
          <w:spacing w:val="-3"/>
        </w:rPr>
        <w:t>transformarse en otro tipo social todas las sociedades mercantiles,</w:t>
      </w:r>
      <w:r w:rsidR="00C928D0">
        <w:rPr>
          <w:bCs/>
          <w:spacing w:val="-3"/>
        </w:rPr>
        <w:t xml:space="preserve"> y t</w:t>
      </w:r>
      <w:r w:rsidR="008D3CC1" w:rsidRPr="00C928D0">
        <w:rPr>
          <w:bCs/>
          <w:spacing w:val="-3"/>
        </w:rPr>
        <w:t>ambién una sociedad civil puede transformarse en una mercantil, pero no a la inversa.</w:t>
      </w:r>
    </w:p>
    <w:p w14:paraId="569054BE" w14:textId="6E9AEF6D" w:rsidR="00CB7F2A" w:rsidRPr="00425EDE" w:rsidRDefault="00CB7F2A" w:rsidP="00F71954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25EDE">
        <w:rPr>
          <w:bCs/>
          <w:spacing w:val="-3"/>
        </w:rPr>
        <w:lastRenderedPageBreak/>
        <w:t xml:space="preserve">La transformación se desarrolla </w:t>
      </w:r>
      <w:r w:rsidR="00805AEB">
        <w:rPr>
          <w:bCs/>
          <w:spacing w:val="-3"/>
        </w:rPr>
        <w:t xml:space="preserve">en </w:t>
      </w:r>
      <w:r w:rsidRPr="00425EDE">
        <w:rPr>
          <w:bCs/>
          <w:spacing w:val="-3"/>
        </w:rPr>
        <w:t xml:space="preserve">un proceso </w:t>
      </w:r>
      <w:r w:rsidR="00BD0400">
        <w:rPr>
          <w:bCs/>
          <w:spacing w:val="-3"/>
        </w:rPr>
        <w:t>dividido en</w:t>
      </w:r>
      <w:r w:rsidRPr="00425EDE">
        <w:rPr>
          <w:bCs/>
          <w:spacing w:val="-3"/>
        </w:rPr>
        <w:t xml:space="preserve"> tres fases</w:t>
      </w:r>
      <w:r w:rsidR="00805AEB">
        <w:rPr>
          <w:bCs/>
          <w:spacing w:val="-3"/>
        </w:rPr>
        <w:t>, a saber</w:t>
      </w:r>
      <w:r w:rsidRPr="00425EDE">
        <w:rPr>
          <w:bCs/>
          <w:spacing w:val="-3"/>
        </w:rPr>
        <w:t>:</w:t>
      </w:r>
    </w:p>
    <w:p w14:paraId="4D4DE6F9" w14:textId="0DD32BA5" w:rsidR="00CB7F2A" w:rsidRPr="00085436" w:rsidRDefault="00CB7F2A" w:rsidP="00F71954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85436">
        <w:rPr>
          <w:bCs/>
          <w:spacing w:val="-3"/>
        </w:rPr>
        <w:t>La fase preparatoria</w:t>
      </w:r>
      <w:r w:rsidR="00E851AF" w:rsidRPr="00085436">
        <w:rPr>
          <w:bCs/>
          <w:spacing w:val="-3"/>
        </w:rPr>
        <w:t>, en la que</w:t>
      </w:r>
      <w:r w:rsidR="00C928D0">
        <w:rPr>
          <w:bCs/>
          <w:spacing w:val="-3"/>
        </w:rPr>
        <w:t>,</w:t>
      </w:r>
      <w:r w:rsidR="00E851AF" w:rsidRPr="00085436">
        <w:rPr>
          <w:bCs/>
          <w:spacing w:val="-3"/>
        </w:rPr>
        <w:t xml:space="preserve"> </w:t>
      </w:r>
      <w:r w:rsidRPr="00085436">
        <w:rPr>
          <w:bCs/>
          <w:spacing w:val="-3"/>
        </w:rPr>
        <w:t xml:space="preserve">al convocar la junta, los administradores deberán poner </w:t>
      </w:r>
      <w:r w:rsidR="00596A15" w:rsidRPr="00085436">
        <w:rPr>
          <w:bCs/>
          <w:spacing w:val="-3"/>
        </w:rPr>
        <w:t>a</w:t>
      </w:r>
      <w:r w:rsidRPr="00085436">
        <w:rPr>
          <w:bCs/>
          <w:spacing w:val="-3"/>
        </w:rPr>
        <w:t xml:space="preserve"> disposición de los socios los siguientes documentos:</w:t>
      </w:r>
    </w:p>
    <w:p w14:paraId="40A2BF7D" w14:textId="4BE42E2B" w:rsidR="00CB7F2A" w:rsidRPr="00085436" w:rsidRDefault="00BC22B9" w:rsidP="003028DB">
      <w:pPr>
        <w:pStyle w:val="Prrafodelista"/>
        <w:numPr>
          <w:ilvl w:val="0"/>
          <w:numId w:val="4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085436">
        <w:rPr>
          <w:bCs/>
          <w:spacing w:val="-3"/>
        </w:rPr>
        <w:t>E</w:t>
      </w:r>
      <w:r w:rsidR="00CB7F2A" w:rsidRPr="00085436">
        <w:rPr>
          <w:bCs/>
          <w:spacing w:val="-3"/>
        </w:rPr>
        <w:t>l informe de los administradores.</w:t>
      </w:r>
    </w:p>
    <w:p w14:paraId="3E9900DE" w14:textId="15C3064F" w:rsidR="00CB7F2A" w:rsidRPr="00085436" w:rsidRDefault="00CB7F2A" w:rsidP="003028DB">
      <w:pPr>
        <w:pStyle w:val="Prrafodelista"/>
        <w:numPr>
          <w:ilvl w:val="0"/>
          <w:numId w:val="4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085436">
        <w:rPr>
          <w:bCs/>
          <w:spacing w:val="-3"/>
        </w:rPr>
        <w:t>El balance</w:t>
      </w:r>
      <w:r w:rsidR="00AB05F2" w:rsidRPr="00085436">
        <w:rPr>
          <w:bCs/>
          <w:spacing w:val="-3"/>
        </w:rPr>
        <w:t xml:space="preserve"> cerrado, al menos, con seis meses de anticipación </w:t>
      </w:r>
      <w:r w:rsidR="005F79F5" w:rsidRPr="00085436">
        <w:rPr>
          <w:bCs/>
          <w:spacing w:val="-3"/>
        </w:rPr>
        <w:t xml:space="preserve">a la celebración de la junta </w:t>
      </w:r>
      <w:r w:rsidR="00BC22B9" w:rsidRPr="00085436">
        <w:rPr>
          <w:bCs/>
          <w:spacing w:val="-3"/>
        </w:rPr>
        <w:t>y</w:t>
      </w:r>
      <w:r w:rsidR="008C4F98" w:rsidRPr="00085436">
        <w:rPr>
          <w:bCs/>
          <w:spacing w:val="-3"/>
        </w:rPr>
        <w:t>, en su caso,</w:t>
      </w:r>
      <w:r w:rsidR="00BC22B9" w:rsidRPr="00085436">
        <w:rPr>
          <w:bCs/>
          <w:spacing w:val="-3"/>
        </w:rPr>
        <w:t xml:space="preserve"> el informe del auditor sobre el mismo</w:t>
      </w:r>
      <w:r w:rsidRPr="00085436">
        <w:rPr>
          <w:bCs/>
          <w:spacing w:val="-3"/>
        </w:rPr>
        <w:t>.</w:t>
      </w:r>
    </w:p>
    <w:p w14:paraId="6C98488C" w14:textId="65368904" w:rsidR="00CB7F2A" w:rsidRPr="00085436" w:rsidRDefault="00CB7F2A" w:rsidP="003028DB">
      <w:pPr>
        <w:pStyle w:val="Prrafodelista"/>
        <w:numPr>
          <w:ilvl w:val="0"/>
          <w:numId w:val="4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085436">
        <w:rPr>
          <w:bCs/>
          <w:spacing w:val="-3"/>
        </w:rPr>
        <w:t>El proyecto de escritura o estatutos de la sociedad que resulte de la transformación.</w:t>
      </w:r>
    </w:p>
    <w:p w14:paraId="38711FDA" w14:textId="3BE408A2" w:rsidR="00AB05F2" w:rsidRPr="00085436" w:rsidRDefault="00AB05F2" w:rsidP="005A268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85436">
        <w:rPr>
          <w:bCs/>
          <w:spacing w:val="-3"/>
        </w:rPr>
        <w:t xml:space="preserve">Los administradores de la sociedad están obligados a informar a la junta sobre cualquier modificación importante del </w:t>
      </w:r>
      <w:r w:rsidR="00C66D09" w:rsidRPr="00085436">
        <w:rPr>
          <w:bCs/>
          <w:spacing w:val="-3"/>
        </w:rPr>
        <w:t>balance</w:t>
      </w:r>
      <w:r w:rsidRPr="00085436">
        <w:rPr>
          <w:bCs/>
          <w:spacing w:val="-3"/>
        </w:rPr>
        <w:t xml:space="preserve"> acaecida </w:t>
      </w:r>
      <w:r w:rsidR="00C66D09" w:rsidRPr="00085436">
        <w:rPr>
          <w:bCs/>
          <w:spacing w:val="-3"/>
        </w:rPr>
        <w:t xml:space="preserve">con posterioridad a su </w:t>
      </w:r>
      <w:r w:rsidRPr="00085436">
        <w:rPr>
          <w:bCs/>
          <w:spacing w:val="-3"/>
        </w:rPr>
        <w:t>puest</w:t>
      </w:r>
      <w:r w:rsidR="00C66D09" w:rsidRPr="00085436">
        <w:rPr>
          <w:bCs/>
          <w:spacing w:val="-3"/>
        </w:rPr>
        <w:t>a</w:t>
      </w:r>
      <w:r w:rsidRPr="00085436">
        <w:rPr>
          <w:bCs/>
          <w:spacing w:val="-3"/>
        </w:rPr>
        <w:t xml:space="preserve"> a disposición de los socios</w:t>
      </w:r>
      <w:r w:rsidR="00C66D09" w:rsidRPr="00085436">
        <w:rPr>
          <w:bCs/>
          <w:spacing w:val="-3"/>
        </w:rPr>
        <w:t>.</w:t>
      </w:r>
    </w:p>
    <w:p w14:paraId="362C0060" w14:textId="77DD6D2F" w:rsidR="00385C6B" w:rsidRPr="00085436" w:rsidRDefault="00385C6B" w:rsidP="005A268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85436">
        <w:rPr>
          <w:bCs/>
          <w:spacing w:val="-3"/>
        </w:rPr>
        <w:t>No será precisa la puesta a disposición de la información cuando la transformación se acuerde en junta universal y por unanimidad.</w:t>
      </w:r>
    </w:p>
    <w:p w14:paraId="0A64A30F" w14:textId="1B5E5E22" w:rsidR="006735F1" w:rsidRPr="00085436" w:rsidRDefault="00CB7F2A" w:rsidP="00F71954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85436">
        <w:rPr>
          <w:bCs/>
          <w:spacing w:val="-3"/>
        </w:rPr>
        <w:t xml:space="preserve">La fase </w:t>
      </w:r>
      <w:r w:rsidR="006735F1" w:rsidRPr="00085436">
        <w:rPr>
          <w:bCs/>
          <w:spacing w:val="-3"/>
        </w:rPr>
        <w:t>deliberativa y decisoria, que culmina con la adopción del</w:t>
      </w:r>
      <w:r w:rsidR="007E31B3" w:rsidRPr="00085436">
        <w:rPr>
          <w:bCs/>
          <w:spacing w:val="-3"/>
        </w:rPr>
        <w:t xml:space="preserve"> acuerdo</w:t>
      </w:r>
      <w:r w:rsidR="00C32943" w:rsidRPr="00085436">
        <w:rPr>
          <w:bCs/>
          <w:spacing w:val="-3"/>
        </w:rPr>
        <w:t xml:space="preserve"> </w:t>
      </w:r>
      <w:r w:rsidR="00BD0400">
        <w:rPr>
          <w:bCs/>
          <w:spacing w:val="-3"/>
        </w:rPr>
        <w:t xml:space="preserve">de transformación por la junta general </w:t>
      </w:r>
      <w:r w:rsidR="00C32943" w:rsidRPr="00085436">
        <w:rPr>
          <w:bCs/>
          <w:spacing w:val="-3"/>
        </w:rPr>
        <w:t>con los requisitos y formalidades establecidos en el régimen de la sociedad que se transforma</w:t>
      </w:r>
      <w:r w:rsidR="006735F1" w:rsidRPr="00085436">
        <w:rPr>
          <w:bCs/>
          <w:spacing w:val="-3"/>
        </w:rPr>
        <w:t>.</w:t>
      </w:r>
    </w:p>
    <w:p w14:paraId="29241C2C" w14:textId="211CD432" w:rsidR="00CB7F2A" w:rsidRPr="00085436" w:rsidRDefault="006735F1" w:rsidP="005A268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85436">
        <w:rPr>
          <w:bCs/>
          <w:spacing w:val="-3"/>
        </w:rPr>
        <w:t>El acuerdo de transformación</w:t>
      </w:r>
      <w:r w:rsidR="007038FA" w:rsidRPr="00085436">
        <w:rPr>
          <w:bCs/>
          <w:spacing w:val="-3"/>
        </w:rPr>
        <w:t xml:space="preserve"> se elevará a escritura pública</w:t>
      </w:r>
      <w:r w:rsidRPr="00085436">
        <w:rPr>
          <w:bCs/>
          <w:spacing w:val="-3"/>
        </w:rPr>
        <w:t xml:space="preserve">, </w:t>
      </w:r>
      <w:r w:rsidR="007E31B3" w:rsidRPr="00085436">
        <w:rPr>
          <w:bCs/>
          <w:spacing w:val="-3"/>
        </w:rPr>
        <w:t xml:space="preserve">se inscribirá en el Registro Mercantil y se </w:t>
      </w:r>
      <w:r w:rsidR="00CB7F2A" w:rsidRPr="00085436">
        <w:rPr>
          <w:bCs/>
          <w:spacing w:val="-3"/>
        </w:rPr>
        <w:t xml:space="preserve">publicará en </w:t>
      </w:r>
      <w:r w:rsidR="007E31B3" w:rsidRPr="00085436">
        <w:rPr>
          <w:bCs/>
          <w:spacing w:val="-3"/>
        </w:rPr>
        <w:t>su</w:t>
      </w:r>
      <w:r w:rsidR="00CB7F2A" w:rsidRPr="00085436">
        <w:rPr>
          <w:bCs/>
          <w:spacing w:val="-3"/>
        </w:rPr>
        <w:t xml:space="preserve"> Boletín Oficial y en uno de los diarios de gran circulación de la provincia del domicilio social, </w:t>
      </w:r>
      <w:bookmarkStart w:id="5" w:name="_Hlk119953290"/>
      <w:r w:rsidR="00CB7F2A" w:rsidRPr="00085436">
        <w:rPr>
          <w:bCs/>
          <w:spacing w:val="-3"/>
        </w:rPr>
        <w:t>si bien no será necesaria la publicación cuando el acuerdo se comunique individualmente por escrito a todos los socios y titulares de derechos especiales</w:t>
      </w:r>
      <w:bookmarkEnd w:id="5"/>
      <w:r w:rsidR="00CB7F2A" w:rsidRPr="00085436">
        <w:rPr>
          <w:bCs/>
          <w:spacing w:val="-3"/>
        </w:rPr>
        <w:t>.</w:t>
      </w:r>
    </w:p>
    <w:p w14:paraId="69597A74" w14:textId="03AB3222" w:rsidR="00CB7F2A" w:rsidRPr="00085436" w:rsidRDefault="00DD018F" w:rsidP="00F71954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85436">
        <w:rPr>
          <w:bCs/>
          <w:spacing w:val="-3"/>
        </w:rPr>
        <w:t xml:space="preserve">La fase ejecutiva, </w:t>
      </w:r>
      <w:r w:rsidR="00CB7F2A" w:rsidRPr="00085436">
        <w:rPr>
          <w:bCs/>
          <w:spacing w:val="-3"/>
        </w:rPr>
        <w:t xml:space="preserve">en la cual </w:t>
      </w:r>
      <w:r w:rsidR="007939E1" w:rsidRPr="00085436">
        <w:rPr>
          <w:bCs/>
          <w:spacing w:val="-3"/>
        </w:rPr>
        <w:t xml:space="preserve">se </w:t>
      </w:r>
      <w:r w:rsidR="00CB7F2A" w:rsidRPr="00085436">
        <w:rPr>
          <w:bCs/>
          <w:spacing w:val="-3"/>
        </w:rPr>
        <w:t xml:space="preserve">reconoce el derecho de separación al socio disidente, y derecho de oposición </w:t>
      </w:r>
      <w:r w:rsidR="000441C8">
        <w:rPr>
          <w:bCs/>
          <w:spacing w:val="-3"/>
        </w:rPr>
        <w:t>a</w:t>
      </w:r>
      <w:r w:rsidR="00CB7F2A" w:rsidRPr="00085436">
        <w:rPr>
          <w:bCs/>
          <w:spacing w:val="-3"/>
        </w:rPr>
        <w:t xml:space="preserve"> los titulares de derechos especiales distintos de acciones</w:t>
      </w:r>
      <w:r w:rsidR="002E4F60">
        <w:rPr>
          <w:bCs/>
          <w:spacing w:val="-3"/>
        </w:rPr>
        <w:t xml:space="preserve"> o</w:t>
      </w:r>
      <w:r w:rsidR="00CB7F2A" w:rsidRPr="00085436">
        <w:rPr>
          <w:bCs/>
          <w:spacing w:val="-3"/>
        </w:rPr>
        <w:t xml:space="preserve"> participaciones sociales que no puedan mantenerse después en la transformación y hubiera</w:t>
      </w:r>
      <w:r w:rsidR="000441C8">
        <w:rPr>
          <w:bCs/>
          <w:spacing w:val="-3"/>
        </w:rPr>
        <w:t>n</w:t>
      </w:r>
      <w:r w:rsidR="00CB7F2A" w:rsidRPr="00085436">
        <w:rPr>
          <w:bCs/>
          <w:spacing w:val="-3"/>
        </w:rPr>
        <w:t xml:space="preserve"> votado en contra, </w:t>
      </w:r>
      <w:r w:rsidR="007939E1" w:rsidRPr="00085436">
        <w:rPr>
          <w:bCs/>
          <w:spacing w:val="-3"/>
        </w:rPr>
        <w:t xml:space="preserve">debiéndose </w:t>
      </w:r>
      <w:r w:rsidR="00CB7F2A" w:rsidRPr="00085436">
        <w:rPr>
          <w:bCs/>
          <w:spacing w:val="-3"/>
        </w:rPr>
        <w:t>ejercitar</w:t>
      </w:r>
      <w:r w:rsidR="007939E1" w:rsidRPr="00085436">
        <w:rPr>
          <w:bCs/>
          <w:spacing w:val="-3"/>
        </w:rPr>
        <w:t>se</w:t>
      </w:r>
      <w:r w:rsidR="00CB7F2A" w:rsidRPr="00085436">
        <w:rPr>
          <w:bCs/>
          <w:spacing w:val="-3"/>
        </w:rPr>
        <w:t xml:space="preserve"> </w:t>
      </w:r>
      <w:r w:rsidR="007939E1" w:rsidRPr="00085436">
        <w:rPr>
          <w:bCs/>
          <w:spacing w:val="-3"/>
        </w:rPr>
        <w:t xml:space="preserve">tal </w:t>
      </w:r>
      <w:r w:rsidR="00CB7F2A" w:rsidRPr="00085436">
        <w:rPr>
          <w:bCs/>
          <w:spacing w:val="-3"/>
        </w:rPr>
        <w:t xml:space="preserve">derecho </w:t>
      </w:r>
      <w:r w:rsidR="007939E1" w:rsidRPr="00085436">
        <w:rPr>
          <w:bCs/>
          <w:spacing w:val="-3"/>
        </w:rPr>
        <w:t xml:space="preserve">en el </w:t>
      </w:r>
      <w:r w:rsidR="00CB7F2A" w:rsidRPr="00085436">
        <w:rPr>
          <w:bCs/>
          <w:spacing w:val="-3"/>
        </w:rPr>
        <w:t xml:space="preserve">mes </w:t>
      </w:r>
      <w:r w:rsidR="007939E1" w:rsidRPr="00085436">
        <w:rPr>
          <w:bCs/>
          <w:spacing w:val="-3"/>
        </w:rPr>
        <w:t xml:space="preserve">siguiente a </w:t>
      </w:r>
      <w:r w:rsidR="00CB7F2A" w:rsidRPr="00085436">
        <w:rPr>
          <w:bCs/>
          <w:spacing w:val="-3"/>
        </w:rPr>
        <w:t>la publicación o comunicación.</w:t>
      </w:r>
    </w:p>
    <w:p w14:paraId="3A7A1384" w14:textId="77777777" w:rsidR="00F248AE" w:rsidRDefault="00F248AE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C6F4904" w14:textId="43C800E8" w:rsidR="00CB7F2A" w:rsidRPr="00DC036B" w:rsidRDefault="00CB7F2A" w:rsidP="00CB7F2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C036B">
        <w:rPr>
          <w:b/>
          <w:spacing w:val="-3"/>
        </w:rPr>
        <w:t>Fusión</w:t>
      </w:r>
      <w:r w:rsidR="00DC036B" w:rsidRPr="00DC036B">
        <w:rPr>
          <w:b/>
          <w:spacing w:val="-3"/>
        </w:rPr>
        <w:t xml:space="preserve"> de sociedades mercantiles.</w:t>
      </w:r>
    </w:p>
    <w:p w14:paraId="42E844A7" w14:textId="77777777" w:rsidR="00D74D94" w:rsidRDefault="00CB7F2A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7F2A">
        <w:rPr>
          <w:bCs/>
          <w:spacing w:val="-3"/>
        </w:rPr>
        <w:t xml:space="preserve">La fusión de sociedades </w:t>
      </w:r>
      <w:r w:rsidR="00D74D94">
        <w:rPr>
          <w:bCs/>
          <w:spacing w:val="-3"/>
        </w:rPr>
        <w:t>está regulada por el Título II de la Ley, y sus características esenciales son las siguientes:</w:t>
      </w:r>
    </w:p>
    <w:p w14:paraId="6372062E" w14:textId="63D66AAC" w:rsidR="00793AE7" w:rsidRPr="00216DC3" w:rsidRDefault="00C657AB" w:rsidP="00F71954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16DC3">
        <w:rPr>
          <w:bCs/>
          <w:spacing w:val="-3"/>
        </w:rPr>
        <w:lastRenderedPageBreak/>
        <w:t>La fusión</w:t>
      </w:r>
      <w:r w:rsidR="002E4F60" w:rsidRPr="00216DC3">
        <w:rPr>
          <w:bCs/>
          <w:spacing w:val="-3"/>
        </w:rPr>
        <w:t xml:space="preserve"> es la integración de </w:t>
      </w:r>
      <w:r w:rsidRPr="00216DC3">
        <w:rPr>
          <w:bCs/>
          <w:spacing w:val="-3"/>
        </w:rPr>
        <w:t xml:space="preserve">dos o más sociedades en una única sociedad mediante la transmisión en bloque </w:t>
      </w:r>
      <w:r w:rsidR="00BB5AA3" w:rsidRPr="00216DC3">
        <w:rPr>
          <w:bCs/>
          <w:spacing w:val="-3"/>
        </w:rPr>
        <w:t xml:space="preserve">por sucesión universal </w:t>
      </w:r>
      <w:r w:rsidRPr="00216DC3">
        <w:rPr>
          <w:bCs/>
          <w:spacing w:val="-3"/>
        </w:rPr>
        <w:t>de sus patrimonios y la atribución a los socios de las sociedades que se extinguen de acciones</w:t>
      </w:r>
      <w:r w:rsidR="002E4F60" w:rsidRPr="00216DC3">
        <w:rPr>
          <w:bCs/>
          <w:spacing w:val="-3"/>
        </w:rPr>
        <w:t xml:space="preserve"> o</w:t>
      </w:r>
      <w:r w:rsidRPr="00216DC3">
        <w:rPr>
          <w:bCs/>
          <w:spacing w:val="-3"/>
        </w:rPr>
        <w:t xml:space="preserve"> participaciones de la sociedad resultante, </w:t>
      </w:r>
      <w:r w:rsidR="00793AE7" w:rsidRPr="00216DC3">
        <w:rPr>
          <w:bCs/>
          <w:spacing w:val="-3"/>
        </w:rPr>
        <w:t>y ello de dos posibles formas:</w:t>
      </w:r>
    </w:p>
    <w:p w14:paraId="33460D9E" w14:textId="104C049C" w:rsidR="00C657AB" w:rsidRPr="00216DC3" w:rsidRDefault="00793AE7" w:rsidP="00F7195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16DC3">
        <w:rPr>
          <w:bCs/>
          <w:spacing w:val="-3"/>
        </w:rPr>
        <w:t xml:space="preserve">Por </w:t>
      </w:r>
      <w:r w:rsidR="003C7AE5" w:rsidRPr="00216DC3">
        <w:rPr>
          <w:bCs/>
          <w:spacing w:val="-3"/>
        </w:rPr>
        <w:t xml:space="preserve">creación de una nueva sociedad, </w:t>
      </w:r>
      <w:r w:rsidR="004B2C3C" w:rsidRPr="00216DC3">
        <w:rPr>
          <w:bCs/>
          <w:spacing w:val="-3"/>
        </w:rPr>
        <w:t xml:space="preserve">que adquiere </w:t>
      </w:r>
      <w:r w:rsidR="003C7AE5" w:rsidRPr="00216DC3">
        <w:rPr>
          <w:bCs/>
          <w:spacing w:val="-3"/>
        </w:rPr>
        <w:t xml:space="preserve">los derechos y obligaciones de </w:t>
      </w:r>
      <w:r w:rsidR="003D4D02" w:rsidRPr="00216DC3">
        <w:rPr>
          <w:bCs/>
          <w:spacing w:val="-3"/>
        </w:rPr>
        <w:t>las sociedades que se fusionan, las cuales se extinguen.</w:t>
      </w:r>
    </w:p>
    <w:p w14:paraId="147945F9" w14:textId="4F59890C" w:rsidR="00CD3B7A" w:rsidRPr="00216DC3" w:rsidRDefault="005F568B" w:rsidP="00F7195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16DC3">
        <w:rPr>
          <w:bCs/>
          <w:spacing w:val="-3"/>
        </w:rPr>
        <w:t xml:space="preserve">Por absorción por una de las sociedades fusionadas </w:t>
      </w:r>
      <w:r w:rsidR="009036D6" w:rsidRPr="00216DC3">
        <w:rPr>
          <w:bCs/>
          <w:spacing w:val="-3"/>
        </w:rPr>
        <w:t xml:space="preserve">de las demás, </w:t>
      </w:r>
      <w:r w:rsidR="00FA153B" w:rsidRPr="00216DC3">
        <w:rPr>
          <w:bCs/>
          <w:spacing w:val="-3"/>
        </w:rPr>
        <w:t>adquiriendo la sociedad absorbente</w:t>
      </w:r>
      <w:r w:rsidR="00CD3B7A" w:rsidRPr="00216DC3">
        <w:rPr>
          <w:bCs/>
          <w:spacing w:val="-3"/>
        </w:rPr>
        <w:t xml:space="preserve"> los patrimonios de las sociedades absorbidas, que se extinguirán, aumentando, en su caso, el capital social de la sociedad absorbente en la cuantía que proceda</w:t>
      </w:r>
      <w:r w:rsidR="00834AD2" w:rsidRPr="00216DC3">
        <w:rPr>
          <w:bCs/>
          <w:spacing w:val="-3"/>
        </w:rPr>
        <w:t>.</w:t>
      </w:r>
    </w:p>
    <w:p w14:paraId="58A5AC62" w14:textId="23009DF1" w:rsidR="00CB7F2A" w:rsidRPr="00216DC3" w:rsidRDefault="00CB7F2A" w:rsidP="00216DC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16DC3">
        <w:rPr>
          <w:bCs/>
          <w:spacing w:val="-3"/>
        </w:rPr>
        <w:t>Existen limitaciones para fusionarse para determinadas entidades, como los bancos</w:t>
      </w:r>
      <w:r w:rsidR="005250AE" w:rsidRPr="00216DC3">
        <w:rPr>
          <w:bCs/>
          <w:spacing w:val="-3"/>
        </w:rPr>
        <w:t xml:space="preserve">, y la </w:t>
      </w:r>
      <w:r w:rsidRPr="00216DC3">
        <w:rPr>
          <w:bCs/>
          <w:spacing w:val="-3"/>
        </w:rPr>
        <w:t xml:space="preserve">sociedad en liquidación </w:t>
      </w:r>
      <w:r w:rsidR="005250AE" w:rsidRPr="00216DC3">
        <w:rPr>
          <w:bCs/>
          <w:spacing w:val="-3"/>
        </w:rPr>
        <w:t xml:space="preserve">puede fusionarse </w:t>
      </w:r>
      <w:r w:rsidRPr="00216DC3">
        <w:rPr>
          <w:bCs/>
          <w:spacing w:val="-3"/>
        </w:rPr>
        <w:t>siempre que no haya comenzado el reparto del patrimonio entre sus socios.</w:t>
      </w:r>
    </w:p>
    <w:p w14:paraId="69B7DB00" w14:textId="215BF0BC" w:rsidR="005250AE" w:rsidRPr="00216DC3" w:rsidRDefault="0096622D" w:rsidP="00F71954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16DC3">
        <w:rPr>
          <w:bCs/>
          <w:spacing w:val="-3"/>
        </w:rPr>
        <w:t>La fusión se desarrolla</w:t>
      </w:r>
      <w:r w:rsidR="00805AEB">
        <w:rPr>
          <w:bCs/>
          <w:spacing w:val="-3"/>
        </w:rPr>
        <w:t xml:space="preserve"> </w:t>
      </w:r>
      <w:r w:rsidR="00805AEB" w:rsidRPr="00425EDE">
        <w:rPr>
          <w:bCs/>
          <w:spacing w:val="-3"/>
        </w:rPr>
        <w:t xml:space="preserve">se desarrolla </w:t>
      </w:r>
      <w:r w:rsidR="00805AEB">
        <w:rPr>
          <w:bCs/>
          <w:spacing w:val="-3"/>
        </w:rPr>
        <w:t xml:space="preserve">en </w:t>
      </w:r>
      <w:r w:rsidR="00805AEB" w:rsidRPr="00425EDE">
        <w:rPr>
          <w:bCs/>
          <w:spacing w:val="-3"/>
        </w:rPr>
        <w:t xml:space="preserve">un proceso </w:t>
      </w:r>
      <w:r w:rsidR="00805AEB">
        <w:rPr>
          <w:bCs/>
          <w:spacing w:val="-3"/>
        </w:rPr>
        <w:t>dividido en</w:t>
      </w:r>
      <w:r w:rsidR="00805AEB" w:rsidRPr="00425EDE">
        <w:rPr>
          <w:bCs/>
          <w:spacing w:val="-3"/>
        </w:rPr>
        <w:t xml:space="preserve"> tres fases</w:t>
      </w:r>
      <w:r w:rsidR="00805AEB">
        <w:rPr>
          <w:bCs/>
          <w:spacing w:val="-3"/>
        </w:rPr>
        <w:t>, a saber</w:t>
      </w:r>
      <w:r w:rsidRPr="00216DC3">
        <w:rPr>
          <w:bCs/>
          <w:spacing w:val="-3"/>
        </w:rPr>
        <w:t>:</w:t>
      </w:r>
    </w:p>
    <w:p w14:paraId="3007B451" w14:textId="12971237" w:rsidR="004946C6" w:rsidRDefault="00232C7E" w:rsidP="00F71954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La f</w:t>
      </w:r>
      <w:r w:rsidR="00CB7F2A" w:rsidRPr="00CB7F2A">
        <w:rPr>
          <w:bCs/>
          <w:spacing w:val="-3"/>
        </w:rPr>
        <w:t xml:space="preserve">ase preparatoria, en la que el proyecto de fusión </w:t>
      </w:r>
      <w:r w:rsidR="008513E8">
        <w:rPr>
          <w:bCs/>
          <w:spacing w:val="-3"/>
        </w:rPr>
        <w:t xml:space="preserve">con el contenido previsto debe ser </w:t>
      </w:r>
      <w:r w:rsidR="00CB7F2A" w:rsidRPr="00CB7F2A">
        <w:rPr>
          <w:bCs/>
          <w:spacing w:val="-3"/>
        </w:rPr>
        <w:t>suscrito por los administradores de cada una de las sociedades participantes</w:t>
      </w:r>
      <w:r w:rsidR="008513E8">
        <w:rPr>
          <w:bCs/>
          <w:spacing w:val="-3"/>
        </w:rPr>
        <w:t xml:space="preserve"> y</w:t>
      </w:r>
      <w:r w:rsidR="00CB7F2A" w:rsidRPr="00CB7F2A">
        <w:rPr>
          <w:bCs/>
          <w:spacing w:val="-3"/>
        </w:rPr>
        <w:t xml:space="preserve"> aprobarse por </w:t>
      </w:r>
      <w:r w:rsidR="00E50541">
        <w:rPr>
          <w:bCs/>
          <w:spacing w:val="-3"/>
        </w:rPr>
        <w:t>sus</w:t>
      </w:r>
      <w:r w:rsidR="00CB7F2A" w:rsidRPr="00CB7F2A">
        <w:rPr>
          <w:bCs/>
          <w:spacing w:val="-3"/>
        </w:rPr>
        <w:t xml:space="preserve"> junta</w:t>
      </w:r>
      <w:r w:rsidR="00E50541">
        <w:rPr>
          <w:bCs/>
          <w:spacing w:val="-3"/>
        </w:rPr>
        <w:t>s</w:t>
      </w:r>
      <w:r w:rsidR="00CB7F2A" w:rsidRPr="00CB7F2A">
        <w:rPr>
          <w:bCs/>
          <w:spacing w:val="-3"/>
        </w:rPr>
        <w:t xml:space="preserve"> general</w:t>
      </w:r>
      <w:r w:rsidR="00E50541">
        <w:rPr>
          <w:bCs/>
          <w:spacing w:val="-3"/>
        </w:rPr>
        <w:t>es en el plazo de seis meses</w:t>
      </w:r>
      <w:r w:rsidR="00057845">
        <w:rPr>
          <w:bCs/>
          <w:spacing w:val="-3"/>
        </w:rPr>
        <w:t>.</w:t>
      </w:r>
    </w:p>
    <w:p w14:paraId="4AC097FD" w14:textId="73A585B7" w:rsidR="00CB7F2A" w:rsidRPr="00CB7F2A" w:rsidRDefault="00057845" w:rsidP="004946C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El proyecto de fusión</w:t>
      </w:r>
      <w:r w:rsidR="00224996">
        <w:rPr>
          <w:bCs/>
          <w:spacing w:val="-3"/>
        </w:rPr>
        <w:t xml:space="preserve"> se insert</w:t>
      </w:r>
      <w:r>
        <w:rPr>
          <w:bCs/>
          <w:spacing w:val="-3"/>
        </w:rPr>
        <w:t xml:space="preserve">ará en la página web de las sociedades o, si no la tuvieran, se depositará en el Registro Mercantil, y se </w:t>
      </w:r>
      <w:r w:rsidR="00224996">
        <w:rPr>
          <w:bCs/>
          <w:spacing w:val="-3"/>
        </w:rPr>
        <w:t xml:space="preserve">dará publicidad a este hecho </w:t>
      </w:r>
      <w:r w:rsidR="00CB7F2A" w:rsidRPr="00CB7F2A">
        <w:rPr>
          <w:bCs/>
          <w:spacing w:val="-3"/>
        </w:rPr>
        <w:t>en el Boletín Oficial del Registro Mercantil.</w:t>
      </w:r>
    </w:p>
    <w:p w14:paraId="59938FD6" w14:textId="2275C599" w:rsidR="00CB7F2A" w:rsidRPr="00CB7F2A" w:rsidRDefault="00CB7F2A" w:rsidP="00DC236B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CB7F2A">
        <w:rPr>
          <w:bCs/>
          <w:spacing w:val="-3"/>
        </w:rPr>
        <w:t xml:space="preserve">Los administradores de cada sociedad participante elaborarán un informe explicando y justificando el proyecto en </w:t>
      </w:r>
      <w:r w:rsidR="001058B5">
        <w:rPr>
          <w:bCs/>
          <w:spacing w:val="-3"/>
        </w:rPr>
        <w:t xml:space="preserve">sus </w:t>
      </w:r>
      <w:r w:rsidRPr="00CB7F2A">
        <w:rPr>
          <w:bCs/>
          <w:spacing w:val="-3"/>
        </w:rPr>
        <w:t xml:space="preserve">aspectos económicos y jurídicos, </w:t>
      </w:r>
      <w:r w:rsidR="001058B5">
        <w:rPr>
          <w:bCs/>
          <w:spacing w:val="-3"/>
        </w:rPr>
        <w:t xml:space="preserve">y si alguna de las sociedades fuese anónima, solicitarán del registrador mercantil el nombramiento </w:t>
      </w:r>
      <w:r w:rsidR="00DC236B">
        <w:rPr>
          <w:bCs/>
          <w:spacing w:val="-3"/>
        </w:rPr>
        <w:t>de expertos independientes para que informen sobre el proyecto de fusión</w:t>
      </w:r>
      <w:r w:rsidRPr="00CB7F2A">
        <w:rPr>
          <w:bCs/>
          <w:spacing w:val="-3"/>
        </w:rPr>
        <w:t>.</w:t>
      </w:r>
    </w:p>
    <w:p w14:paraId="0D01F729" w14:textId="7E41FC3E" w:rsidR="00CB7F2A" w:rsidRDefault="00CB7F2A" w:rsidP="00232C7E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CB7F2A">
        <w:rPr>
          <w:bCs/>
          <w:spacing w:val="-3"/>
        </w:rPr>
        <w:t>Habrá de constar, también, el balance de fusión de cada una de las sociedades participantes,</w:t>
      </w:r>
      <w:r w:rsidR="00922321">
        <w:rPr>
          <w:bCs/>
          <w:spacing w:val="-3"/>
        </w:rPr>
        <w:t xml:space="preserve"> que será el último balance del ejercicio, siempre que hubiera sido cerrado </w:t>
      </w:r>
      <w:r w:rsidR="00922321" w:rsidRPr="00922321">
        <w:rPr>
          <w:bCs/>
          <w:spacing w:val="-3"/>
        </w:rPr>
        <w:t>dentro de los seis meses anteriores a la fecha del proyecto de fusión</w:t>
      </w:r>
      <w:r w:rsidRPr="00CB7F2A">
        <w:rPr>
          <w:bCs/>
          <w:spacing w:val="-3"/>
        </w:rPr>
        <w:t>.</w:t>
      </w:r>
      <w:r w:rsidR="005D71FE">
        <w:rPr>
          <w:bCs/>
          <w:spacing w:val="-3"/>
        </w:rPr>
        <w:t xml:space="preserve"> Caso contrario, </w:t>
      </w:r>
      <w:r w:rsidR="005D71FE" w:rsidRPr="005D71FE">
        <w:rPr>
          <w:bCs/>
          <w:spacing w:val="-3"/>
        </w:rPr>
        <w:t>será preciso elaborar un balance cerrado con posterioridad al primer día del tercer mes precedente a la fecha del proyecto de fusión</w:t>
      </w:r>
      <w:r w:rsidR="005D71FE">
        <w:rPr>
          <w:bCs/>
          <w:spacing w:val="-3"/>
        </w:rPr>
        <w:t>.</w:t>
      </w:r>
    </w:p>
    <w:p w14:paraId="4476D35B" w14:textId="608E33A9" w:rsidR="00D11071" w:rsidRDefault="00D11071" w:rsidP="00232C7E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 xml:space="preserve">En las sociedades cotizadas, el </w:t>
      </w:r>
      <w:r w:rsidRPr="00D11071">
        <w:rPr>
          <w:bCs/>
          <w:spacing w:val="-3"/>
        </w:rPr>
        <w:t>balance de fusión podrá ser sustituido por el</w:t>
      </w:r>
      <w:r w:rsidR="0071276A">
        <w:rPr>
          <w:bCs/>
          <w:spacing w:val="-3"/>
        </w:rPr>
        <w:t xml:space="preserve"> </w:t>
      </w:r>
      <w:r w:rsidR="0071276A" w:rsidRPr="0071276A">
        <w:rPr>
          <w:bCs/>
          <w:spacing w:val="-3"/>
        </w:rPr>
        <w:t>informe financiero semestral exigido por la legislación sobre mercado de valores</w:t>
      </w:r>
      <w:r w:rsidR="0071276A">
        <w:rPr>
          <w:bCs/>
          <w:spacing w:val="-3"/>
        </w:rPr>
        <w:t>.</w:t>
      </w:r>
    </w:p>
    <w:p w14:paraId="4A60C714" w14:textId="3223176C" w:rsidR="0071276A" w:rsidRPr="00CB7F2A" w:rsidRDefault="0071276A" w:rsidP="00232C7E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El balance o informe deberá ser verificado por el auditor </w:t>
      </w:r>
      <w:r w:rsidR="008124C3">
        <w:rPr>
          <w:bCs/>
          <w:spacing w:val="-3"/>
        </w:rPr>
        <w:t>cuando exista obligación de auditar.</w:t>
      </w:r>
    </w:p>
    <w:p w14:paraId="302CF2B3" w14:textId="04939EE1" w:rsidR="00EB59E4" w:rsidRPr="00DD018F" w:rsidRDefault="00232C7E" w:rsidP="00A30F55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D018F">
        <w:rPr>
          <w:bCs/>
          <w:spacing w:val="-3"/>
        </w:rPr>
        <w:t>La f</w:t>
      </w:r>
      <w:r w:rsidR="00CB7F2A" w:rsidRPr="00DD018F">
        <w:rPr>
          <w:bCs/>
          <w:spacing w:val="-3"/>
        </w:rPr>
        <w:t>ase deliberativa</w:t>
      </w:r>
      <w:r w:rsidRPr="00DD018F">
        <w:rPr>
          <w:bCs/>
          <w:spacing w:val="-3"/>
        </w:rPr>
        <w:t xml:space="preserve"> y decisoria</w:t>
      </w:r>
      <w:r w:rsidR="00CF2476" w:rsidRPr="00DD018F">
        <w:rPr>
          <w:bCs/>
          <w:spacing w:val="-3"/>
        </w:rPr>
        <w:t xml:space="preserve">, que </w:t>
      </w:r>
      <w:r w:rsidR="008274CF" w:rsidRPr="00DD018F">
        <w:rPr>
          <w:bCs/>
          <w:spacing w:val="-3"/>
        </w:rPr>
        <w:t>comienza poniendo a disposición de los socios y otros interesados el proyecto de fusión, los informes, los balances y el resto de información prevista</w:t>
      </w:r>
      <w:r w:rsidR="00DD018F" w:rsidRPr="00DD018F">
        <w:rPr>
          <w:bCs/>
          <w:spacing w:val="-3"/>
        </w:rPr>
        <w:t>, y</w:t>
      </w:r>
      <w:r w:rsidR="00DD018F">
        <w:rPr>
          <w:bCs/>
          <w:spacing w:val="-3"/>
        </w:rPr>
        <w:t xml:space="preserve"> c</w:t>
      </w:r>
      <w:r w:rsidR="00CF2476" w:rsidRPr="00DD018F">
        <w:rPr>
          <w:bCs/>
          <w:spacing w:val="-3"/>
        </w:rPr>
        <w:t>ulmina con la adopción del acuerdo de fusión</w:t>
      </w:r>
      <w:r w:rsidR="00805AEB">
        <w:rPr>
          <w:bCs/>
          <w:spacing w:val="-3"/>
        </w:rPr>
        <w:t xml:space="preserve"> </w:t>
      </w:r>
      <w:r w:rsidR="00805AEB" w:rsidRPr="00216DC3">
        <w:rPr>
          <w:bCs/>
          <w:spacing w:val="-3"/>
        </w:rPr>
        <w:t>por las juntas generales de las sociedades fusionadas</w:t>
      </w:r>
      <w:r w:rsidR="00CF2476" w:rsidRPr="00DD018F">
        <w:rPr>
          <w:bCs/>
          <w:spacing w:val="-3"/>
        </w:rPr>
        <w:t xml:space="preserve">, si bien </w:t>
      </w:r>
      <w:r w:rsidR="00CB7F2A" w:rsidRPr="00DD018F">
        <w:rPr>
          <w:bCs/>
          <w:spacing w:val="-3"/>
        </w:rPr>
        <w:t>cualquier acuerdo que modifique el proyecto de fusión se entenderá como rechazo de la propuesta.</w:t>
      </w:r>
    </w:p>
    <w:p w14:paraId="00D09F15" w14:textId="3A58B272" w:rsidR="000B54EE" w:rsidRDefault="001D3BDE" w:rsidP="000B54EE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85436">
        <w:rPr>
          <w:bCs/>
          <w:spacing w:val="-3"/>
        </w:rPr>
        <w:t xml:space="preserve">El acuerdo de </w:t>
      </w:r>
      <w:r w:rsidR="000B54EE">
        <w:rPr>
          <w:bCs/>
          <w:spacing w:val="-3"/>
        </w:rPr>
        <w:t>fus</w:t>
      </w:r>
      <w:r w:rsidRPr="00085436">
        <w:rPr>
          <w:bCs/>
          <w:spacing w:val="-3"/>
        </w:rPr>
        <w:t>ión se elevará a escritura pública, se inscribirá en el Registro Mercantil y se publicará en su Boletín Oficial y en uno de los diarios de gran circulación de la</w:t>
      </w:r>
      <w:r w:rsidR="00DD018F">
        <w:rPr>
          <w:bCs/>
          <w:spacing w:val="-3"/>
        </w:rPr>
        <w:t>s</w:t>
      </w:r>
      <w:r w:rsidRPr="00085436">
        <w:rPr>
          <w:bCs/>
          <w:spacing w:val="-3"/>
        </w:rPr>
        <w:t xml:space="preserve"> provincia</w:t>
      </w:r>
      <w:r w:rsidR="00DD018F">
        <w:rPr>
          <w:bCs/>
          <w:spacing w:val="-3"/>
        </w:rPr>
        <w:t>s</w:t>
      </w:r>
      <w:r w:rsidRPr="00085436">
        <w:rPr>
          <w:bCs/>
          <w:spacing w:val="-3"/>
        </w:rPr>
        <w:t xml:space="preserve"> de</w:t>
      </w:r>
      <w:r w:rsidR="00DD018F">
        <w:rPr>
          <w:bCs/>
          <w:spacing w:val="-3"/>
        </w:rPr>
        <w:t xml:space="preserve"> </w:t>
      </w:r>
      <w:r w:rsidRPr="00085436">
        <w:rPr>
          <w:bCs/>
          <w:spacing w:val="-3"/>
        </w:rPr>
        <w:t>l</w:t>
      </w:r>
      <w:r w:rsidR="00DD018F">
        <w:rPr>
          <w:bCs/>
          <w:spacing w:val="-3"/>
        </w:rPr>
        <w:t>os</w:t>
      </w:r>
      <w:r w:rsidRPr="00085436">
        <w:rPr>
          <w:bCs/>
          <w:spacing w:val="-3"/>
        </w:rPr>
        <w:t xml:space="preserve"> domicilio</w:t>
      </w:r>
      <w:r w:rsidR="00DD018F">
        <w:rPr>
          <w:bCs/>
          <w:spacing w:val="-3"/>
        </w:rPr>
        <w:t>s</w:t>
      </w:r>
      <w:r w:rsidRPr="00085436">
        <w:rPr>
          <w:bCs/>
          <w:spacing w:val="-3"/>
        </w:rPr>
        <w:t xml:space="preserve"> social</w:t>
      </w:r>
      <w:r w:rsidR="00DD018F">
        <w:rPr>
          <w:bCs/>
          <w:spacing w:val="-3"/>
        </w:rPr>
        <w:t>es</w:t>
      </w:r>
      <w:r w:rsidR="000B54EE">
        <w:rPr>
          <w:bCs/>
          <w:spacing w:val="-3"/>
        </w:rPr>
        <w:t xml:space="preserve">, </w:t>
      </w:r>
      <w:r w:rsidR="000B54EE" w:rsidRPr="00085436">
        <w:rPr>
          <w:bCs/>
          <w:spacing w:val="-3"/>
        </w:rPr>
        <w:t xml:space="preserve">si bien no será necesaria la publicación cuando el acuerdo se comunique individualmente por escrito a todos los socios y </w:t>
      </w:r>
      <w:r w:rsidR="000B54EE">
        <w:rPr>
          <w:bCs/>
          <w:spacing w:val="-3"/>
        </w:rPr>
        <w:t>acreedores</w:t>
      </w:r>
      <w:r w:rsidR="00112CFA">
        <w:rPr>
          <w:bCs/>
          <w:spacing w:val="-3"/>
        </w:rPr>
        <w:t>, los cuales tienen, además, derecho de oposición en los términos que se regulan</w:t>
      </w:r>
      <w:r w:rsidR="000B54EE">
        <w:rPr>
          <w:bCs/>
          <w:spacing w:val="-3"/>
        </w:rPr>
        <w:t>.</w:t>
      </w:r>
    </w:p>
    <w:p w14:paraId="3202FD00" w14:textId="2ACAFD7D" w:rsidR="00CB7F2A" w:rsidRPr="00CB7F2A" w:rsidRDefault="00DD018F" w:rsidP="009967B6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85436">
        <w:rPr>
          <w:bCs/>
          <w:spacing w:val="-3"/>
        </w:rPr>
        <w:t xml:space="preserve">La fase ejecutiva, </w:t>
      </w:r>
      <w:r w:rsidR="008D1B42">
        <w:rPr>
          <w:bCs/>
          <w:spacing w:val="-3"/>
        </w:rPr>
        <w:t>en la que deberá incorporarse a la escritura de elevación a público del acuerdo de fusión</w:t>
      </w:r>
      <w:r w:rsidR="00CB7F2A" w:rsidRPr="00CB7F2A">
        <w:rPr>
          <w:bCs/>
          <w:spacing w:val="-3"/>
        </w:rPr>
        <w:t xml:space="preserve"> los estatutos de la </w:t>
      </w:r>
      <w:r w:rsidR="003B0B64">
        <w:rPr>
          <w:bCs/>
          <w:spacing w:val="-3"/>
        </w:rPr>
        <w:t xml:space="preserve">nueva </w:t>
      </w:r>
      <w:r w:rsidR="00CB7F2A" w:rsidRPr="00CB7F2A">
        <w:rPr>
          <w:bCs/>
          <w:spacing w:val="-3"/>
        </w:rPr>
        <w:t>sociedad</w:t>
      </w:r>
      <w:r w:rsidR="003B0B64">
        <w:rPr>
          <w:bCs/>
          <w:spacing w:val="-3"/>
        </w:rPr>
        <w:t xml:space="preserve"> o, si la </w:t>
      </w:r>
      <w:r w:rsidR="00CB7F2A" w:rsidRPr="00CB7F2A">
        <w:rPr>
          <w:bCs/>
          <w:spacing w:val="-3"/>
        </w:rPr>
        <w:t xml:space="preserve">fusión </w:t>
      </w:r>
      <w:r w:rsidR="003B0B64">
        <w:rPr>
          <w:bCs/>
          <w:spacing w:val="-3"/>
        </w:rPr>
        <w:t xml:space="preserve">es </w:t>
      </w:r>
      <w:r w:rsidR="00CB7F2A" w:rsidRPr="00CB7F2A">
        <w:rPr>
          <w:bCs/>
          <w:spacing w:val="-3"/>
        </w:rPr>
        <w:t xml:space="preserve">por absorción, las modificaciones </w:t>
      </w:r>
      <w:r w:rsidR="003B0B64">
        <w:rPr>
          <w:bCs/>
          <w:spacing w:val="-3"/>
        </w:rPr>
        <w:t xml:space="preserve">de los estatutos de la sociedad absorbente que sean </w:t>
      </w:r>
      <w:r w:rsidR="00CB7F2A" w:rsidRPr="00CB7F2A">
        <w:rPr>
          <w:bCs/>
          <w:spacing w:val="-3"/>
        </w:rPr>
        <w:t>necesarias para la integración de la</w:t>
      </w:r>
      <w:r w:rsidR="003B0B64">
        <w:rPr>
          <w:bCs/>
          <w:spacing w:val="-3"/>
        </w:rPr>
        <w:t>s</w:t>
      </w:r>
      <w:r w:rsidR="00CB7F2A" w:rsidRPr="00CB7F2A">
        <w:rPr>
          <w:bCs/>
          <w:spacing w:val="-3"/>
        </w:rPr>
        <w:t xml:space="preserve"> sociedad</w:t>
      </w:r>
      <w:r w:rsidR="003B0B64">
        <w:rPr>
          <w:bCs/>
          <w:spacing w:val="-3"/>
        </w:rPr>
        <w:t>es</w:t>
      </w:r>
      <w:r w:rsidR="00CB7F2A" w:rsidRPr="00CB7F2A">
        <w:rPr>
          <w:bCs/>
          <w:spacing w:val="-3"/>
        </w:rPr>
        <w:t xml:space="preserve"> absorbida</w:t>
      </w:r>
      <w:r w:rsidR="003B0B64">
        <w:rPr>
          <w:bCs/>
          <w:spacing w:val="-3"/>
        </w:rPr>
        <w:t>s</w:t>
      </w:r>
      <w:r w:rsidR="00CB7F2A" w:rsidRPr="00CB7F2A">
        <w:rPr>
          <w:bCs/>
          <w:spacing w:val="-3"/>
        </w:rPr>
        <w:t>.</w:t>
      </w:r>
    </w:p>
    <w:p w14:paraId="79767394" w14:textId="2854DC0D" w:rsidR="00D62C1F" w:rsidRDefault="00D62C1F" w:rsidP="009967B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D62C1F">
        <w:rPr>
          <w:bCs/>
          <w:spacing w:val="-3"/>
        </w:rPr>
        <w:t>L</w:t>
      </w:r>
      <w:r w:rsidR="009967B6">
        <w:rPr>
          <w:bCs/>
          <w:spacing w:val="-3"/>
        </w:rPr>
        <w:t>os efectos</w:t>
      </w:r>
      <w:r w:rsidRPr="00D62C1F">
        <w:rPr>
          <w:bCs/>
          <w:spacing w:val="-3"/>
        </w:rPr>
        <w:t xml:space="preserve"> de la fusión se producirá</w:t>
      </w:r>
      <w:r w:rsidR="009967B6">
        <w:rPr>
          <w:bCs/>
          <w:spacing w:val="-3"/>
        </w:rPr>
        <w:t>n</w:t>
      </w:r>
      <w:r w:rsidRPr="00D62C1F">
        <w:rPr>
          <w:bCs/>
          <w:spacing w:val="-3"/>
        </w:rPr>
        <w:t xml:space="preserve"> con la inscripción de la nueva sociedad o con la inscripción de la absorción en el Registro Mercanti</w:t>
      </w:r>
      <w:r>
        <w:rPr>
          <w:bCs/>
          <w:spacing w:val="-3"/>
        </w:rPr>
        <w:t>l</w:t>
      </w:r>
      <w:r w:rsidR="009967B6">
        <w:rPr>
          <w:bCs/>
          <w:spacing w:val="-3"/>
        </w:rPr>
        <w:t>, son fundamentalmente los siguientes:</w:t>
      </w:r>
    </w:p>
    <w:p w14:paraId="28D82A43" w14:textId="6F73615B" w:rsidR="00CB7F2A" w:rsidRPr="00CB7F2A" w:rsidRDefault="00CB7F2A" w:rsidP="00F248AE">
      <w:pPr>
        <w:pStyle w:val="Prrafodelista"/>
        <w:numPr>
          <w:ilvl w:val="0"/>
          <w:numId w:val="4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CB7F2A">
        <w:rPr>
          <w:bCs/>
          <w:spacing w:val="-3"/>
        </w:rPr>
        <w:t xml:space="preserve">Sucesión universal </w:t>
      </w:r>
      <w:r w:rsidR="009967B6">
        <w:rPr>
          <w:bCs/>
          <w:spacing w:val="-3"/>
        </w:rPr>
        <w:t xml:space="preserve">por la nueva sociedad o la absorbente de los </w:t>
      </w:r>
      <w:r w:rsidRPr="00CB7F2A">
        <w:rPr>
          <w:bCs/>
          <w:spacing w:val="-3"/>
        </w:rPr>
        <w:t>bienes, derechos, y obligaciones</w:t>
      </w:r>
      <w:r w:rsidR="009967B6">
        <w:rPr>
          <w:bCs/>
          <w:spacing w:val="-3"/>
        </w:rPr>
        <w:t xml:space="preserve"> de las sociedades </w:t>
      </w:r>
      <w:r w:rsidR="00B33D75">
        <w:rPr>
          <w:bCs/>
          <w:spacing w:val="-3"/>
        </w:rPr>
        <w:t>fusionadas o absorbidas</w:t>
      </w:r>
      <w:r w:rsidR="005B75AB">
        <w:rPr>
          <w:bCs/>
          <w:spacing w:val="-3"/>
        </w:rPr>
        <w:t>.</w:t>
      </w:r>
    </w:p>
    <w:p w14:paraId="07DA0776" w14:textId="59B8B2C3" w:rsidR="00CB7F2A" w:rsidRPr="00CB7F2A" w:rsidRDefault="005B75AB" w:rsidP="00F248AE">
      <w:pPr>
        <w:pStyle w:val="Prrafodelista"/>
        <w:numPr>
          <w:ilvl w:val="0"/>
          <w:numId w:val="4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CB7F2A" w:rsidRPr="00CB7F2A">
        <w:rPr>
          <w:bCs/>
          <w:spacing w:val="-3"/>
        </w:rPr>
        <w:t xml:space="preserve">ontinuidad </w:t>
      </w:r>
      <w:r w:rsidR="00B33D75">
        <w:rPr>
          <w:bCs/>
          <w:spacing w:val="-3"/>
        </w:rPr>
        <w:t xml:space="preserve">en </w:t>
      </w:r>
      <w:r w:rsidR="00CB7F2A" w:rsidRPr="00CB7F2A">
        <w:rPr>
          <w:bCs/>
          <w:spacing w:val="-3"/>
        </w:rPr>
        <w:t xml:space="preserve">la participación de los socios </w:t>
      </w:r>
      <w:r>
        <w:rPr>
          <w:bCs/>
          <w:spacing w:val="-3"/>
        </w:rPr>
        <w:t>de</w:t>
      </w:r>
      <w:r w:rsidR="00B33D75">
        <w:rPr>
          <w:bCs/>
          <w:spacing w:val="-3"/>
        </w:rPr>
        <w:t xml:space="preserve"> las sociedades fusionadas o absorbidas en la nueva sociedad o </w:t>
      </w:r>
      <w:r w:rsidR="0017707B">
        <w:rPr>
          <w:bCs/>
          <w:spacing w:val="-3"/>
        </w:rPr>
        <w:t xml:space="preserve">en </w:t>
      </w:r>
      <w:r w:rsidR="00B33D75">
        <w:rPr>
          <w:bCs/>
          <w:spacing w:val="-3"/>
        </w:rPr>
        <w:t xml:space="preserve">la absorbente conforme al tipo de canje </w:t>
      </w:r>
      <w:r w:rsidR="00F248AE">
        <w:rPr>
          <w:bCs/>
          <w:spacing w:val="-3"/>
        </w:rPr>
        <w:t>de acciones y participaciones previsto en el acuerdo de fusión</w:t>
      </w:r>
      <w:r w:rsidR="00CB7F2A" w:rsidRPr="00CB7F2A">
        <w:rPr>
          <w:bCs/>
          <w:spacing w:val="-3"/>
        </w:rPr>
        <w:t>.</w:t>
      </w:r>
    </w:p>
    <w:p w14:paraId="525CF968" w14:textId="6FA90C6E" w:rsidR="00CB7F2A" w:rsidRPr="00CB7F2A" w:rsidRDefault="00CB7F2A" w:rsidP="00F248AE">
      <w:pPr>
        <w:pStyle w:val="Prrafodelista"/>
        <w:numPr>
          <w:ilvl w:val="0"/>
          <w:numId w:val="4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CB7F2A">
        <w:rPr>
          <w:bCs/>
          <w:spacing w:val="-3"/>
        </w:rPr>
        <w:t xml:space="preserve">Extinción sin liquidación de las sociedades </w:t>
      </w:r>
      <w:r w:rsidR="00F248AE">
        <w:rPr>
          <w:bCs/>
          <w:spacing w:val="-3"/>
        </w:rPr>
        <w:t>fusionadas o absorbidas</w:t>
      </w:r>
      <w:r w:rsidRPr="00CB7F2A">
        <w:rPr>
          <w:bCs/>
          <w:spacing w:val="-3"/>
        </w:rPr>
        <w:t>.</w:t>
      </w:r>
    </w:p>
    <w:p w14:paraId="23658A5E" w14:textId="77777777" w:rsidR="00F248AE" w:rsidRDefault="00F248AE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3D8E5D1" w14:textId="7C265A79" w:rsidR="00CB7F2A" w:rsidRPr="00F248AE" w:rsidRDefault="00CB7F2A" w:rsidP="00CB7F2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248AE">
        <w:rPr>
          <w:b/>
          <w:spacing w:val="-3"/>
        </w:rPr>
        <w:t>Escisión</w:t>
      </w:r>
      <w:r w:rsidR="00F248AE" w:rsidRPr="00F248AE">
        <w:rPr>
          <w:b/>
          <w:spacing w:val="-3"/>
        </w:rPr>
        <w:t xml:space="preserve"> de sociedades mercantiles</w:t>
      </w:r>
      <w:r w:rsidRPr="00F248AE">
        <w:rPr>
          <w:b/>
          <w:spacing w:val="-3"/>
        </w:rPr>
        <w:t>.</w:t>
      </w:r>
    </w:p>
    <w:p w14:paraId="6FBFB883" w14:textId="77777777" w:rsidR="00570E0E" w:rsidRDefault="00570E0E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escisión </w:t>
      </w:r>
      <w:r w:rsidRPr="00CB7F2A">
        <w:rPr>
          <w:bCs/>
          <w:spacing w:val="-3"/>
        </w:rPr>
        <w:t xml:space="preserve">de sociedades </w:t>
      </w:r>
      <w:r>
        <w:rPr>
          <w:bCs/>
          <w:spacing w:val="-3"/>
        </w:rPr>
        <w:t>está regulada por el Título II</w:t>
      </w:r>
      <w:r>
        <w:rPr>
          <w:bCs/>
          <w:spacing w:val="-3"/>
        </w:rPr>
        <w:t>I</w:t>
      </w:r>
      <w:r>
        <w:rPr>
          <w:bCs/>
          <w:spacing w:val="-3"/>
        </w:rPr>
        <w:t xml:space="preserve"> de la Ley, y sus características esenciales son las siguientes</w:t>
      </w:r>
      <w:r>
        <w:rPr>
          <w:bCs/>
          <w:spacing w:val="-3"/>
        </w:rPr>
        <w:t>:</w:t>
      </w:r>
    </w:p>
    <w:p w14:paraId="1CD50D00" w14:textId="77777777" w:rsidR="0081368C" w:rsidRPr="004D036F" w:rsidRDefault="0081368C" w:rsidP="004D036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D036F">
        <w:rPr>
          <w:bCs/>
          <w:spacing w:val="-3"/>
        </w:rPr>
        <w:lastRenderedPageBreak/>
        <w:t>La escisión puede revestir tres modalidades, a saber:</w:t>
      </w:r>
    </w:p>
    <w:p w14:paraId="74D1D799" w14:textId="71166E42" w:rsidR="0081368C" w:rsidRPr="004D036F" w:rsidRDefault="00B27BFD" w:rsidP="004D036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 xml:space="preserve">La escisión total, que es </w:t>
      </w:r>
      <w:r w:rsidRPr="004D036F">
        <w:rPr>
          <w:bCs/>
          <w:spacing w:val="-3"/>
        </w:rPr>
        <w:t>la extinción de una sociedad, con división de todo su patrimonio en dos o más partes, cada una de las cuales se transmite en bloque por sucesión universal a una sociedad de nueva creación o es absorbida por una sociedad ya existente, recibiendo los socios un número de acciones</w:t>
      </w:r>
      <w:r w:rsidRPr="004D036F">
        <w:rPr>
          <w:bCs/>
          <w:spacing w:val="-3"/>
        </w:rPr>
        <w:t xml:space="preserve"> o</w:t>
      </w:r>
      <w:r w:rsidRPr="004D036F">
        <w:rPr>
          <w:bCs/>
          <w:spacing w:val="-3"/>
        </w:rPr>
        <w:t xml:space="preserve"> participaciones de las sociedades beneficiarias proporcional a su respectiva participación en la sociedad que se escinde</w:t>
      </w:r>
      <w:r w:rsidR="0090504E" w:rsidRPr="004D036F">
        <w:rPr>
          <w:bCs/>
          <w:spacing w:val="-3"/>
        </w:rPr>
        <w:t>.</w:t>
      </w:r>
    </w:p>
    <w:p w14:paraId="0490BADD" w14:textId="1D6B415B" w:rsidR="0090504E" w:rsidRPr="004D036F" w:rsidRDefault="0090504E" w:rsidP="004D036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La escisión parcial, que es</w:t>
      </w:r>
      <w:r w:rsidR="006C1162" w:rsidRPr="004D036F">
        <w:rPr>
          <w:bCs/>
          <w:spacing w:val="-3"/>
        </w:rPr>
        <w:t xml:space="preserve"> </w:t>
      </w:r>
      <w:r w:rsidR="006C1162" w:rsidRPr="004D036F">
        <w:rPr>
          <w:bCs/>
          <w:spacing w:val="-3"/>
        </w:rPr>
        <w:t>el traspaso en bloque por sucesión universal de una o varias partes del patrimonio de una sociedad, cada una de las cuales forme una unidad económica, a una o varias sociedades de nueva creación o ya existentes, recibiendo los socios de la sociedad que se escinde un número de acciones</w:t>
      </w:r>
      <w:r w:rsidR="006C1162" w:rsidRPr="004D036F">
        <w:rPr>
          <w:bCs/>
          <w:spacing w:val="-3"/>
        </w:rPr>
        <w:t xml:space="preserve"> o</w:t>
      </w:r>
      <w:r w:rsidR="006C1162" w:rsidRPr="004D036F">
        <w:rPr>
          <w:bCs/>
          <w:spacing w:val="-3"/>
        </w:rPr>
        <w:t xml:space="preserve"> participaciones de las sociedades beneficiarias proporcional a su respectiva participación en la sociedad que se escinde y reduciendo ésta el capital social en la cuantía necesaria</w:t>
      </w:r>
      <w:r w:rsidR="0084531F" w:rsidRPr="004D036F">
        <w:rPr>
          <w:bCs/>
          <w:spacing w:val="-3"/>
        </w:rPr>
        <w:t>.</w:t>
      </w:r>
    </w:p>
    <w:p w14:paraId="36B70777" w14:textId="14451CCD" w:rsidR="0084531F" w:rsidRPr="004D036F" w:rsidRDefault="0084531F" w:rsidP="004D036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 xml:space="preserve">La segregación, que es </w:t>
      </w:r>
      <w:r w:rsidRPr="004D036F">
        <w:rPr>
          <w:bCs/>
          <w:spacing w:val="-3"/>
        </w:rPr>
        <w:t>el traspaso en bloque por sucesión universal de una o varias partes del patrimonio de una sociedad, cada una de las cuales forme una unidad económica, a una o varias sociedades, recibiendo a cambio la sociedad segregada acciones</w:t>
      </w:r>
      <w:r w:rsidR="00E77205" w:rsidRPr="004D036F">
        <w:rPr>
          <w:bCs/>
          <w:spacing w:val="-3"/>
        </w:rPr>
        <w:t xml:space="preserve"> o</w:t>
      </w:r>
      <w:r w:rsidRPr="004D036F">
        <w:rPr>
          <w:bCs/>
          <w:spacing w:val="-3"/>
        </w:rPr>
        <w:t xml:space="preserve"> participaciones de las sociedades beneficiarias</w:t>
      </w:r>
      <w:r w:rsidR="00E77205" w:rsidRPr="004D036F">
        <w:rPr>
          <w:bCs/>
          <w:spacing w:val="-3"/>
        </w:rPr>
        <w:t>.</w:t>
      </w:r>
    </w:p>
    <w:p w14:paraId="41A98E3F" w14:textId="5CD87417" w:rsidR="00CB7F2A" w:rsidRPr="004D036F" w:rsidRDefault="00CB7F2A" w:rsidP="004D036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D036F">
        <w:rPr>
          <w:bCs/>
          <w:spacing w:val="-3"/>
        </w:rPr>
        <w:t xml:space="preserve">La escisión se rige por las normas de la fusión con </w:t>
      </w:r>
      <w:r w:rsidR="00BC2117" w:rsidRPr="004D036F">
        <w:rPr>
          <w:bCs/>
          <w:spacing w:val="-3"/>
        </w:rPr>
        <w:t xml:space="preserve">las </w:t>
      </w:r>
      <w:r w:rsidRPr="004D036F">
        <w:rPr>
          <w:bCs/>
          <w:spacing w:val="-3"/>
        </w:rPr>
        <w:t xml:space="preserve">particularidades </w:t>
      </w:r>
      <w:r w:rsidR="00BC2117" w:rsidRPr="004D036F">
        <w:rPr>
          <w:bCs/>
          <w:spacing w:val="-3"/>
        </w:rPr>
        <w:t>previstas, entre las que destacan las siguientes</w:t>
      </w:r>
      <w:r w:rsidRPr="004D036F">
        <w:rPr>
          <w:bCs/>
          <w:spacing w:val="-3"/>
        </w:rPr>
        <w:t>:</w:t>
      </w:r>
    </w:p>
    <w:p w14:paraId="20C2CE38" w14:textId="2DDB353F" w:rsidR="00CB7F2A" w:rsidRPr="004D036F" w:rsidRDefault="00CB7F2A" w:rsidP="00311B3A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El proyecto de escisión debe incluir el reparto de</w:t>
      </w:r>
      <w:r w:rsidR="00A94991" w:rsidRPr="004D036F">
        <w:rPr>
          <w:bCs/>
          <w:spacing w:val="-3"/>
        </w:rPr>
        <w:t xml:space="preserve"> los elementos del</w:t>
      </w:r>
      <w:r w:rsidRPr="004D036F">
        <w:rPr>
          <w:bCs/>
          <w:spacing w:val="-3"/>
        </w:rPr>
        <w:t xml:space="preserve"> activo y pasivo </w:t>
      </w:r>
      <w:r w:rsidR="003C428A" w:rsidRPr="004D036F">
        <w:rPr>
          <w:bCs/>
          <w:spacing w:val="-3"/>
        </w:rPr>
        <w:t>que han de transmitirse a</w:t>
      </w:r>
      <w:r w:rsidRPr="004D036F">
        <w:rPr>
          <w:bCs/>
          <w:spacing w:val="-3"/>
        </w:rPr>
        <w:t xml:space="preserve"> las </w:t>
      </w:r>
      <w:r w:rsidR="00E7422D" w:rsidRPr="004D036F">
        <w:rPr>
          <w:bCs/>
          <w:spacing w:val="-3"/>
        </w:rPr>
        <w:t xml:space="preserve">sociedades </w:t>
      </w:r>
      <w:r w:rsidRPr="004D036F">
        <w:rPr>
          <w:bCs/>
          <w:spacing w:val="-3"/>
        </w:rPr>
        <w:t xml:space="preserve">beneficiarias, y el reparto </w:t>
      </w:r>
      <w:r w:rsidR="003C428A" w:rsidRPr="004D036F">
        <w:rPr>
          <w:bCs/>
          <w:spacing w:val="-3"/>
        </w:rPr>
        <w:t xml:space="preserve">entre los socios de la sociedad escindida </w:t>
      </w:r>
      <w:r w:rsidRPr="004D036F">
        <w:rPr>
          <w:bCs/>
          <w:spacing w:val="-3"/>
        </w:rPr>
        <w:t xml:space="preserve">de </w:t>
      </w:r>
      <w:r w:rsidR="003C428A" w:rsidRPr="004D036F">
        <w:rPr>
          <w:bCs/>
          <w:spacing w:val="-3"/>
        </w:rPr>
        <w:t xml:space="preserve">las </w:t>
      </w:r>
      <w:r w:rsidRPr="004D036F">
        <w:rPr>
          <w:bCs/>
          <w:spacing w:val="-3"/>
        </w:rPr>
        <w:t>acciones o participaciones</w:t>
      </w:r>
      <w:r w:rsidR="003C428A" w:rsidRPr="004D036F">
        <w:rPr>
          <w:bCs/>
          <w:spacing w:val="-3"/>
        </w:rPr>
        <w:t xml:space="preserve"> de la</w:t>
      </w:r>
      <w:r w:rsidR="00110ACD" w:rsidRPr="004D036F">
        <w:rPr>
          <w:bCs/>
          <w:spacing w:val="-3"/>
        </w:rPr>
        <w:t>s</w:t>
      </w:r>
      <w:r w:rsidR="003C428A" w:rsidRPr="004D036F">
        <w:rPr>
          <w:bCs/>
          <w:spacing w:val="-3"/>
        </w:rPr>
        <w:t xml:space="preserve"> sociedad</w:t>
      </w:r>
      <w:r w:rsidR="00110ACD" w:rsidRPr="004D036F">
        <w:rPr>
          <w:bCs/>
          <w:spacing w:val="-3"/>
        </w:rPr>
        <w:t xml:space="preserve">es </w:t>
      </w:r>
      <w:r w:rsidR="003C428A" w:rsidRPr="004D036F">
        <w:rPr>
          <w:bCs/>
          <w:spacing w:val="-3"/>
        </w:rPr>
        <w:t>beneficiaria</w:t>
      </w:r>
      <w:r w:rsidR="00110ACD" w:rsidRPr="004D036F">
        <w:rPr>
          <w:bCs/>
          <w:spacing w:val="-3"/>
        </w:rPr>
        <w:t>s</w:t>
      </w:r>
      <w:r w:rsidRPr="004D036F">
        <w:rPr>
          <w:bCs/>
          <w:spacing w:val="-3"/>
        </w:rPr>
        <w:t>.</w:t>
      </w:r>
    </w:p>
    <w:p w14:paraId="6C6E112F" w14:textId="788ACD16" w:rsidR="00CB7F2A" w:rsidRPr="004D036F" w:rsidRDefault="00B07BEE" w:rsidP="00311B3A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Cuando las sociedades que participen en la escisión sean anónimas, el proyecto de escisión deberá someterse al informe de expertos independientes</w:t>
      </w:r>
      <w:r w:rsidR="00CB7F2A" w:rsidRPr="004D036F">
        <w:rPr>
          <w:bCs/>
          <w:spacing w:val="-3"/>
        </w:rPr>
        <w:t>.</w:t>
      </w:r>
    </w:p>
    <w:p w14:paraId="7C398D4C" w14:textId="1FD7743C" w:rsidR="00CB7F2A" w:rsidRPr="004D036F" w:rsidRDefault="00025C25" w:rsidP="00311B3A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De las obligaciones asumidas por una sociedad beneficiaria responden solidariamente las demás sociedades beneficiarias hasta el importe del activo atribuido a cada una</w:t>
      </w:r>
      <w:r w:rsidR="005D7FC9">
        <w:rPr>
          <w:bCs/>
          <w:spacing w:val="-3"/>
        </w:rPr>
        <w:t xml:space="preserve"> </w:t>
      </w:r>
      <w:r w:rsidRPr="004D036F">
        <w:rPr>
          <w:bCs/>
          <w:spacing w:val="-3"/>
        </w:rPr>
        <w:t>y la sociedad escindida por la totalidad de la obligación</w:t>
      </w:r>
      <w:r w:rsidR="004D036F" w:rsidRPr="004D036F">
        <w:rPr>
          <w:bCs/>
          <w:spacing w:val="-3"/>
        </w:rPr>
        <w:t>.</w:t>
      </w:r>
    </w:p>
    <w:p w14:paraId="7BA8D557" w14:textId="77777777" w:rsidR="0084023A" w:rsidRPr="00CB7F2A" w:rsidRDefault="0084023A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6EE9026" w14:textId="6486A8EA" w:rsidR="00CB7F2A" w:rsidRPr="006F2D27" w:rsidRDefault="00CB7F2A" w:rsidP="006F2D27">
      <w:pPr>
        <w:spacing w:before="120" w:after="120" w:line="360" w:lineRule="auto"/>
        <w:jc w:val="both"/>
        <w:rPr>
          <w:b/>
          <w:spacing w:val="-3"/>
        </w:rPr>
      </w:pPr>
      <w:r w:rsidRPr="006F2D27">
        <w:rPr>
          <w:b/>
          <w:spacing w:val="-3"/>
        </w:rPr>
        <w:t>CESIÓN GLOBAL DE ACTIVO Y PASIVO</w:t>
      </w:r>
      <w:r w:rsidR="006F2D27">
        <w:rPr>
          <w:b/>
          <w:spacing w:val="-3"/>
        </w:rPr>
        <w:t>.</w:t>
      </w:r>
    </w:p>
    <w:p w14:paraId="25D50EA1" w14:textId="4EC4E7D5" w:rsidR="00CC268C" w:rsidRDefault="00CC268C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3D5712">
        <w:rPr>
          <w:bCs/>
          <w:spacing w:val="-3"/>
        </w:rPr>
        <w:t>cesión global de activo y pasivo</w:t>
      </w:r>
      <w:r w:rsidRPr="00CB7F2A">
        <w:rPr>
          <w:bCs/>
          <w:spacing w:val="-3"/>
        </w:rPr>
        <w:t xml:space="preserve"> </w:t>
      </w:r>
      <w:r>
        <w:rPr>
          <w:bCs/>
          <w:spacing w:val="-3"/>
        </w:rPr>
        <w:t>está regulada por el Título I</w:t>
      </w:r>
      <w:r>
        <w:rPr>
          <w:bCs/>
          <w:spacing w:val="-3"/>
        </w:rPr>
        <w:t>V</w:t>
      </w:r>
      <w:r>
        <w:rPr>
          <w:bCs/>
          <w:spacing w:val="-3"/>
        </w:rPr>
        <w:t xml:space="preserve"> de la Ley, y sus características esenciales son las siguientes:</w:t>
      </w:r>
    </w:p>
    <w:p w14:paraId="30874FD2" w14:textId="77777777" w:rsidR="00134EA9" w:rsidRDefault="000234F0" w:rsidP="007D2103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103">
        <w:rPr>
          <w:bCs/>
          <w:spacing w:val="-3"/>
        </w:rPr>
        <w:lastRenderedPageBreak/>
        <w:t>Un</w:t>
      </w:r>
      <w:r w:rsidR="00CB7F2A" w:rsidRPr="007D2103">
        <w:rPr>
          <w:bCs/>
          <w:spacing w:val="-3"/>
        </w:rPr>
        <w:t>a sociedad podrá transmitir en bloque todo su patrimonio por sucesión universal, a uno o a varios socios o terceros, a cambio de una contraprestación que no podrá consistir en acciones</w:t>
      </w:r>
      <w:r w:rsidR="002A1712" w:rsidRPr="007D2103">
        <w:rPr>
          <w:bCs/>
          <w:spacing w:val="-3"/>
        </w:rPr>
        <w:t xml:space="preserve"> o</w:t>
      </w:r>
      <w:r w:rsidR="00CB7F2A" w:rsidRPr="007D2103">
        <w:rPr>
          <w:bCs/>
          <w:spacing w:val="-3"/>
        </w:rPr>
        <w:t xml:space="preserve"> participaciones del cesionario.</w:t>
      </w:r>
    </w:p>
    <w:p w14:paraId="1C90C8C7" w14:textId="77777777" w:rsidR="00134EA9" w:rsidRDefault="00CB7F2A" w:rsidP="00134EA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D2103">
        <w:rPr>
          <w:bCs/>
          <w:spacing w:val="-3"/>
        </w:rPr>
        <w:t>La sociedad cedente quedará extinguida si la contraprestación fuese recibida total y directamente por los socios.</w:t>
      </w:r>
    </w:p>
    <w:p w14:paraId="491CDF3D" w14:textId="2DFEA1C5" w:rsidR="00CB7F2A" w:rsidRPr="007D2103" w:rsidRDefault="00CB7F2A" w:rsidP="00134EA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D2103">
        <w:rPr>
          <w:bCs/>
          <w:spacing w:val="-3"/>
        </w:rPr>
        <w:t>En todo caso, la contraprestación que reciba cada socio deberá respetar las normas aplicables a la cuota de liquidación.</w:t>
      </w:r>
    </w:p>
    <w:p w14:paraId="73AD1467" w14:textId="407E55A9" w:rsidR="00CB7F2A" w:rsidRPr="007D2103" w:rsidRDefault="00413789" w:rsidP="007D2103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103">
        <w:rPr>
          <w:bCs/>
          <w:spacing w:val="-3"/>
        </w:rPr>
        <w:t xml:space="preserve">La </w:t>
      </w:r>
      <w:r w:rsidRPr="007D2103">
        <w:rPr>
          <w:bCs/>
          <w:spacing w:val="-3"/>
        </w:rPr>
        <w:t xml:space="preserve">cesión </w:t>
      </w:r>
      <w:r w:rsidRPr="007D2103">
        <w:rPr>
          <w:bCs/>
          <w:spacing w:val="-3"/>
        </w:rPr>
        <w:t>se desarrolla se desarrolla en un proceso</w:t>
      </w:r>
      <w:r w:rsidR="00A8156E" w:rsidRPr="007D2103">
        <w:rPr>
          <w:bCs/>
          <w:spacing w:val="-3"/>
        </w:rPr>
        <w:t xml:space="preserve"> </w:t>
      </w:r>
      <w:r w:rsidR="00A8156E" w:rsidRPr="007D2103">
        <w:rPr>
          <w:bCs/>
          <w:spacing w:val="-3"/>
        </w:rPr>
        <w:t>dividido en tres fases, a saber</w:t>
      </w:r>
      <w:r w:rsidR="00CB7F2A" w:rsidRPr="007D2103">
        <w:rPr>
          <w:bCs/>
          <w:spacing w:val="-3"/>
        </w:rPr>
        <w:t>:</w:t>
      </w:r>
    </w:p>
    <w:p w14:paraId="51F4AD2D" w14:textId="7D57E79E" w:rsidR="00CB7F2A" w:rsidRPr="007D2103" w:rsidRDefault="00FA5E02" w:rsidP="000C1E18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2103">
        <w:rPr>
          <w:bCs/>
          <w:spacing w:val="-3"/>
        </w:rPr>
        <w:t>La fase preparatoria, mediante la e</w:t>
      </w:r>
      <w:r w:rsidR="00CB7F2A" w:rsidRPr="007D2103">
        <w:rPr>
          <w:bCs/>
          <w:spacing w:val="-3"/>
        </w:rPr>
        <w:t>laboración del proyecto por los administradores e informe justific</w:t>
      </w:r>
      <w:r w:rsidR="00A8156E" w:rsidRPr="007D2103">
        <w:rPr>
          <w:bCs/>
          <w:spacing w:val="-3"/>
        </w:rPr>
        <w:t>ativo del mismo</w:t>
      </w:r>
      <w:r w:rsidR="00CB7F2A" w:rsidRPr="007D2103">
        <w:rPr>
          <w:bCs/>
          <w:spacing w:val="-3"/>
        </w:rPr>
        <w:t>.</w:t>
      </w:r>
    </w:p>
    <w:p w14:paraId="32A477A2" w14:textId="2AF19181" w:rsidR="00CB7F2A" w:rsidRPr="007D2103" w:rsidRDefault="00FA5E02" w:rsidP="000C1E18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2103">
        <w:rPr>
          <w:bCs/>
          <w:spacing w:val="-3"/>
        </w:rPr>
        <w:t>La fase deliberativa y decisoria, que culmina con el a</w:t>
      </w:r>
      <w:r w:rsidR="00CB7F2A" w:rsidRPr="007D2103">
        <w:rPr>
          <w:bCs/>
          <w:spacing w:val="-3"/>
        </w:rPr>
        <w:t xml:space="preserve">cuerdo </w:t>
      </w:r>
      <w:r w:rsidRPr="007D2103">
        <w:rPr>
          <w:bCs/>
          <w:spacing w:val="-3"/>
        </w:rPr>
        <w:t>de</w:t>
      </w:r>
      <w:r w:rsidR="00CB7F2A" w:rsidRPr="007D2103">
        <w:rPr>
          <w:bCs/>
          <w:spacing w:val="-3"/>
        </w:rPr>
        <w:t xml:space="preserve"> la </w:t>
      </w:r>
      <w:r w:rsidR="00A8156E" w:rsidRPr="007D2103">
        <w:rPr>
          <w:bCs/>
          <w:spacing w:val="-3"/>
        </w:rPr>
        <w:t>j</w:t>
      </w:r>
      <w:r w:rsidR="00CB7F2A" w:rsidRPr="007D2103">
        <w:rPr>
          <w:bCs/>
          <w:spacing w:val="-3"/>
        </w:rPr>
        <w:t xml:space="preserve">unta </w:t>
      </w:r>
      <w:r w:rsidR="00A8156E" w:rsidRPr="007D2103">
        <w:rPr>
          <w:bCs/>
          <w:spacing w:val="-3"/>
        </w:rPr>
        <w:t>g</w:t>
      </w:r>
      <w:r w:rsidR="00CB7F2A" w:rsidRPr="007D2103">
        <w:rPr>
          <w:bCs/>
          <w:spacing w:val="-3"/>
        </w:rPr>
        <w:t xml:space="preserve">eneral, </w:t>
      </w:r>
      <w:r w:rsidR="00584868" w:rsidRPr="007D2103">
        <w:rPr>
          <w:bCs/>
          <w:spacing w:val="-3"/>
        </w:rPr>
        <w:t xml:space="preserve">que </w:t>
      </w:r>
      <w:r w:rsidR="00584868" w:rsidRPr="007D2103">
        <w:rPr>
          <w:bCs/>
          <w:spacing w:val="-3"/>
        </w:rPr>
        <w:t>se elevará a escritura pública</w:t>
      </w:r>
      <w:r w:rsidR="00584868" w:rsidRPr="007D2103">
        <w:rPr>
          <w:bCs/>
          <w:spacing w:val="-3"/>
        </w:rPr>
        <w:t xml:space="preserve"> y se </w:t>
      </w:r>
      <w:r w:rsidR="00584868" w:rsidRPr="007D2103">
        <w:rPr>
          <w:bCs/>
          <w:spacing w:val="-3"/>
        </w:rPr>
        <w:t>inscribirá en el Registro Mercantil y publicará en su Boletín Oficial y en uno de los diarios de gran circulación de la provincia del domicilio social</w:t>
      </w:r>
      <w:r w:rsidR="00FC102C" w:rsidRPr="007D2103">
        <w:rPr>
          <w:bCs/>
          <w:spacing w:val="-3"/>
        </w:rPr>
        <w:t xml:space="preserve">, si bien </w:t>
      </w:r>
      <w:r w:rsidR="00FC102C" w:rsidRPr="007D2103">
        <w:rPr>
          <w:bCs/>
          <w:spacing w:val="-3"/>
        </w:rPr>
        <w:t>si bien no será necesaria la publicación cuando el acuerdo se comunique individualmente por escrito a todos los socios y acreedores, los cuales tienen, además, derecho de oposición en los términos que se regulan</w:t>
      </w:r>
      <w:r w:rsidR="00CB7F2A" w:rsidRPr="007D2103">
        <w:rPr>
          <w:bCs/>
          <w:spacing w:val="-3"/>
        </w:rPr>
        <w:t>.</w:t>
      </w:r>
    </w:p>
    <w:p w14:paraId="03D0DB46" w14:textId="77777777" w:rsidR="007D2103" w:rsidRPr="007D2103" w:rsidRDefault="00FD1C6C" w:rsidP="000C1E18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2103">
        <w:rPr>
          <w:bCs/>
          <w:spacing w:val="-3"/>
        </w:rPr>
        <w:t>La fase</w:t>
      </w:r>
      <w:r w:rsidR="00253D1C" w:rsidRPr="007D2103">
        <w:rPr>
          <w:bCs/>
          <w:spacing w:val="-3"/>
        </w:rPr>
        <w:t xml:space="preserve"> ejecutiva, </w:t>
      </w:r>
      <w:r w:rsidR="002C581E" w:rsidRPr="007D2103">
        <w:rPr>
          <w:bCs/>
          <w:spacing w:val="-3"/>
        </w:rPr>
        <w:t>produciendo efectos</w:t>
      </w:r>
      <w:r w:rsidR="002C581E" w:rsidRPr="007D2103">
        <w:rPr>
          <w:bCs/>
          <w:spacing w:val="-3"/>
        </w:rPr>
        <w:t xml:space="preserve"> la cesión con la inscripción en el Registro Mercantil de la sociedad cedente</w:t>
      </w:r>
      <w:r w:rsidR="002C581E" w:rsidRPr="007D2103">
        <w:rPr>
          <w:bCs/>
          <w:spacing w:val="-3"/>
        </w:rPr>
        <w:t xml:space="preserve"> y cancelándose, en su caso, </w:t>
      </w:r>
      <w:r w:rsidR="007D2103" w:rsidRPr="007D2103">
        <w:rPr>
          <w:bCs/>
          <w:spacing w:val="-3"/>
        </w:rPr>
        <w:t xml:space="preserve">los </w:t>
      </w:r>
      <w:r w:rsidR="002C581E" w:rsidRPr="007D2103">
        <w:rPr>
          <w:bCs/>
          <w:spacing w:val="-3"/>
        </w:rPr>
        <w:t>asientos</w:t>
      </w:r>
      <w:r w:rsidR="002C581E" w:rsidRPr="007D2103">
        <w:rPr>
          <w:bCs/>
          <w:spacing w:val="-3"/>
        </w:rPr>
        <w:t xml:space="preserve"> de la sociedad que se extinga como </w:t>
      </w:r>
      <w:r w:rsidR="007D2103" w:rsidRPr="007D2103">
        <w:rPr>
          <w:bCs/>
          <w:spacing w:val="-3"/>
        </w:rPr>
        <w:t>consecuencia de la cesión</w:t>
      </w:r>
      <w:r w:rsidR="007D2103" w:rsidRPr="007D2103">
        <w:rPr>
          <w:bCs/>
          <w:spacing w:val="-3"/>
        </w:rPr>
        <w:t>.</w:t>
      </w:r>
    </w:p>
    <w:p w14:paraId="6A8E44FC" w14:textId="17440140" w:rsidR="00CB7F2A" w:rsidRPr="007D2103" w:rsidRDefault="00FA5E02" w:rsidP="000C1E18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D2103">
        <w:rPr>
          <w:bCs/>
          <w:spacing w:val="-3"/>
        </w:rPr>
        <w:t>De las obligaciones asumidas por un cesionario responderán solidariamente los demás cesionarios, hasta el límite del activo atribuido a cada uno de ellos en la cesión; y, según los casos, los socios hasta el límite de lo que hubieran recibido como contraprestación, o la propia sociedad que no se hubiera extinguido, por la totalidad de la obligación</w:t>
      </w:r>
      <w:r w:rsidR="00CB7F2A" w:rsidRPr="007D2103">
        <w:rPr>
          <w:bCs/>
          <w:spacing w:val="-3"/>
        </w:rPr>
        <w:t>.</w:t>
      </w:r>
    </w:p>
    <w:p w14:paraId="4A173954" w14:textId="77777777" w:rsidR="006F2D27" w:rsidRPr="00CB7F2A" w:rsidRDefault="006F2D27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EF96E28" w14:textId="6471EE50" w:rsidR="00CB7F2A" w:rsidRPr="006F2D27" w:rsidRDefault="00CB7F2A" w:rsidP="006F2D27">
      <w:pPr>
        <w:spacing w:before="120" w:after="120" w:line="360" w:lineRule="auto"/>
        <w:jc w:val="both"/>
        <w:rPr>
          <w:b/>
          <w:spacing w:val="-3"/>
        </w:rPr>
      </w:pPr>
      <w:r w:rsidRPr="006F2D27">
        <w:rPr>
          <w:b/>
          <w:spacing w:val="-3"/>
        </w:rPr>
        <w:t>TRASLADO INTERNACIONAL DEL DOMICILIO SOCIAL</w:t>
      </w:r>
      <w:r w:rsidR="004D5158">
        <w:rPr>
          <w:b/>
          <w:spacing w:val="-3"/>
        </w:rPr>
        <w:t>.</w:t>
      </w:r>
    </w:p>
    <w:p w14:paraId="7203E2F9" w14:textId="3E6766C7" w:rsidR="00CB7F2A" w:rsidRPr="00CB7F2A" w:rsidRDefault="00CB7F2A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7F2A">
        <w:rPr>
          <w:bCs/>
          <w:spacing w:val="-3"/>
        </w:rPr>
        <w:t>El traslado internacional del domicilio social</w:t>
      </w:r>
      <w:r w:rsidR="00C34377" w:rsidRPr="00C34377">
        <w:rPr>
          <w:bCs/>
          <w:spacing w:val="-3"/>
        </w:rPr>
        <w:t xml:space="preserve"> </w:t>
      </w:r>
      <w:r w:rsidR="00C34377">
        <w:rPr>
          <w:bCs/>
          <w:spacing w:val="-3"/>
        </w:rPr>
        <w:t>está regulad</w:t>
      </w:r>
      <w:r w:rsidR="00C34377">
        <w:rPr>
          <w:bCs/>
          <w:spacing w:val="-3"/>
        </w:rPr>
        <w:t>o</w:t>
      </w:r>
      <w:r w:rsidR="00C34377">
        <w:rPr>
          <w:bCs/>
          <w:spacing w:val="-3"/>
        </w:rPr>
        <w:t xml:space="preserve"> por el Título V de la Ley, y sus características esenciales son las siguientes</w:t>
      </w:r>
      <w:r w:rsidRPr="00CB7F2A">
        <w:rPr>
          <w:bCs/>
          <w:spacing w:val="-3"/>
        </w:rPr>
        <w:t>:</w:t>
      </w:r>
    </w:p>
    <w:p w14:paraId="1A2760C5" w14:textId="77DF4CAB" w:rsidR="00CB7F2A" w:rsidRPr="008E536D" w:rsidRDefault="00CC05A6" w:rsidP="008E536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E536D">
        <w:rPr>
          <w:bCs/>
          <w:spacing w:val="-3"/>
        </w:rPr>
        <w:t>El t</w:t>
      </w:r>
      <w:r w:rsidR="00CB7F2A" w:rsidRPr="008E536D">
        <w:rPr>
          <w:bCs/>
          <w:spacing w:val="-3"/>
        </w:rPr>
        <w:t>raslado al extranjero de</w:t>
      </w:r>
      <w:r w:rsidRPr="008E536D">
        <w:rPr>
          <w:bCs/>
          <w:spacing w:val="-3"/>
        </w:rPr>
        <w:t>l</w:t>
      </w:r>
      <w:r w:rsidR="00CB7F2A" w:rsidRPr="008E536D">
        <w:rPr>
          <w:bCs/>
          <w:spacing w:val="-3"/>
        </w:rPr>
        <w:t xml:space="preserve"> domicilio social de una sociedad española </w:t>
      </w:r>
      <w:r w:rsidR="001F603D" w:rsidRPr="008E536D">
        <w:rPr>
          <w:bCs/>
          <w:spacing w:val="-3"/>
        </w:rPr>
        <w:t xml:space="preserve">sólo es posible si el Estado de destino permite el mantenimiento de </w:t>
      </w:r>
      <w:r w:rsidR="001F603D" w:rsidRPr="008E536D">
        <w:rPr>
          <w:bCs/>
          <w:spacing w:val="-3"/>
        </w:rPr>
        <w:t>su</w:t>
      </w:r>
      <w:r w:rsidR="001F603D" w:rsidRPr="008E536D">
        <w:rPr>
          <w:bCs/>
          <w:spacing w:val="-3"/>
        </w:rPr>
        <w:t xml:space="preserve"> personalidad jurídica</w:t>
      </w:r>
      <w:r w:rsidR="001F603D" w:rsidRPr="008E536D">
        <w:rPr>
          <w:bCs/>
          <w:spacing w:val="-3"/>
        </w:rPr>
        <w:t>.</w:t>
      </w:r>
    </w:p>
    <w:p w14:paraId="7B252726" w14:textId="77777777" w:rsidR="00E05DAE" w:rsidRPr="008E536D" w:rsidRDefault="00CC05A6" w:rsidP="008E536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E536D">
        <w:rPr>
          <w:bCs/>
          <w:spacing w:val="-3"/>
        </w:rPr>
        <w:lastRenderedPageBreak/>
        <w:t>El t</w:t>
      </w:r>
      <w:r w:rsidR="00CB7F2A" w:rsidRPr="008E536D">
        <w:rPr>
          <w:bCs/>
          <w:spacing w:val="-3"/>
        </w:rPr>
        <w:t>raslado a España del domicilio social de una sociedad extranjera</w:t>
      </w:r>
      <w:r w:rsidR="001F603D" w:rsidRPr="008E536D">
        <w:rPr>
          <w:bCs/>
          <w:spacing w:val="-3"/>
        </w:rPr>
        <w:t xml:space="preserve"> </w:t>
      </w:r>
      <w:r w:rsidR="001F603D" w:rsidRPr="008E536D">
        <w:rPr>
          <w:bCs/>
          <w:spacing w:val="-3"/>
        </w:rPr>
        <w:t xml:space="preserve">sólo es posible si el Estado de </w:t>
      </w:r>
      <w:r w:rsidR="001F603D" w:rsidRPr="008E536D">
        <w:rPr>
          <w:bCs/>
          <w:spacing w:val="-3"/>
        </w:rPr>
        <w:t>origen</w:t>
      </w:r>
      <w:r w:rsidR="001F603D" w:rsidRPr="008E536D">
        <w:rPr>
          <w:bCs/>
          <w:spacing w:val="-3"/>
        </w:rPr>
        <w:t xml:space="preserve"> permite el mantenimiento de </w:t>
      </w:r>
      <w:r w:rsidR="001F603D" w:rsidRPr="008E536D">
        <w:rPr>
          <w:bCs/>
          <w:spacing w:val="-3"/>
        </w:rPr>
        <w:t>su</w:t>
      </w:r>
      <w:r w:rsidR="001F603D" w:rsidRPr="008E536D">
        <w:rPr>
          <w:bCs/>
          <w:spacing w:val="-3"/>
        </w:rPr>
        <w:t xml:space="preserve"> personalidad jurídica</w:t>
      </w:r>
      <w:r w:rsidR="00B373C1" w:rsidRPr="008E536D">
        <w:rPr>
          <w:bCs/>
          <w:spacing w:val="-3"/>
        </w:rPr>
        <w:t xml:space="preserve">, </w:t>
      </w:r>
      <w:r w:rsidR="00E05DAE" w:rsidRPr="008E536D">
        <w:rPr>
          <w:bCs/>
          <w:spacing w:val="-3"/>
        </w:rPr>
        <w:t>de forma que:</w:t>
      </w:r>
    </w:p>
    <w:p w14:paraId="347E682D" w14:textId="1764E34E" w:rsidR="00CB7F2A" w:rsidRPr="008E536D" w:rsidRDefault="00E05DAE" w:rsidP="008E536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E536D">
        <w:rPr>
          <w:bCs/>
          <w:spacing w:val="-3"/>
        </w:rPr>
        <w:t>E</w:t>
      </w:r>
      <w:r w:rsidRPr="008E536D">
        <w:rPr>
          <w:bCs/>
          <w:spacing w:val="-3"/>
        </w:rPr>
        <w:t xml:space="preserve">l mantenimiento de </w:t>
      </w:r>
      <w:r w:rsidRPr="008E536D">
        <w:rPr>
          <w:bCs/>
          <w:spacing w:val="-3"/>
        </w:rPr>
        <w:t>la</w:t>
      </w:r>
      <w:r w:rsidRPr="008E536D">
        <w:rPr>
          <w:bCs/>
          <w:spacing w:val="-3"/>
        </w:rPr>
        <w:t xml:space="preserve"> personalidad jurídica</w:t>
      </w:r>
      <w:r w:rsidRPr="008E536D">
        <w:rPr>
          <w:bCs/>
          <w:spacing w:val="-3"/>
        </w:rPr>
        <w:t xml:space="preserve"> </w:t>
      </w:r>
      <w:r w:rsidR="00E05225">
        <w:rPr>
          <w:bCs/>
          <w:spacing w:val="-3"/>
        </w:rPr>
        <w:t xml:space="preserve">de </w:t>
      </w:r>
      <w:r w:rsidR="00CB7F2A" w:rsidRPr="008E536D">
        <w:rPr>
          <w:bCs/>
          <w:spacing w:val="-3"/>
        </w:rPr>
        <w:t>la sociedad de origen</w:t>
      </w:r>
      <w:r w:rsidRPr="008E536D">
        <w:rPr>
          <w:bCs/>
          <w:spacing w:val="-3"/>
        </w:rPr>
        <w:t xml:space="preserve"> se produce siempre que</w:t>
      </w:r>
      <w:r w:rsidR="00CB7F2A" w:rsidRPr="008E536D">
        <w:rPr>
          <w:bCs/>
          <w:spacing w:val="-3"/>
        </w:rPr>
        <w:t xml:space="preserve"> est</w:t>
      </w:r>
      <w:r w:rsidR="00B373C1" w:rsidRPr="008E536D">
        <w:rPr>
          <w:bCs/>
          <w:spacing w:val="-3"/>
        </w:rPr>
        <w:t>é</w:t>
      </w:r>
      <w:r w:rsidR="00CB7F2A" w:rsidRPr="008E536D">
        <w:rPr>
          <w:bCs/>
          <w:spacing w:val="-3"/>
        </w:rPr>
        <w:t xml:space="preserve"> constituida conforme a </w:t>
      </w:r>
      <w:r w:rsidR="00AB0B63" w:rsidRPr="008E536D">
        <w:rPr>
          <w:bCs/>
          <w:spacing w:val="-3"/>
        </w:rPr>
        <w:t>la</w:t>
      </w:r>
      <w:r w:rsidR="00CB7F2A" w:rsidRPr="008E536D">
        <w:rPr>
          <w:bCs/>
          <w:spacing w:val="-3"/>
        </w:rPr>
        <w:t xml:space="preserve"> ley de</w:t>
      </w:r>
      <w:r w:rsidR="00AB0B63" w:rsidRPr="008E536D">
        <w:rPr>
          <w:bCs/>
          <w:spacing w:val="-3"/>
        </w:rPr>
        <w:t xml:space="preserve"> otro</w:t>
      </w:r>
      <w:r w:rsidR="00CB7F2A" w:rsidRPr="008E536D">
        <w:rPr>
          <w:bCs/>
          <w:spacing w:val="-3"/>
        </w:rPr>
        <w:t xml:space="preserve"> Estado parte del Espacio Económico Europeo</w:t>
      </w:r>
      <w:r w:rsidR="00AB0B63" w:rsidRPr="008E536D">
        <w:rPr>
          <w:bCs/>
          <w:spacing w:val="-3"/>
        </w:rPr>
        <w:t>, si bien</w:t>
      </w:r>
      <w:r w:rsidR="00AB0B63" w:rsidRPr="00AB0B63">
        <w:t xml:space="preserve"> </w:t>
      </w:r>
      <w:r w:rsidR="00AB0B63">
        <w:t xml:space="preserve">la sociedad de origen </w:t>
      </w:r>
      <w:r w:rsidR="00AB0B63" w:rsidRPr="008E536D">
        <w:rPr>
          <w:bCs/>
          <w:spacing w:val="-3"/>
        </w:rPr>
        <w:t>deberá cumplir con lo exigido por la ley española para la constitución de la sociedad cuyo tipo ostente</w:t>
      </w:r>
      <w:r w:rsidR="00CB7F2A" w:rsidRPr="008E536D">
        <w:rPr>
          <w:bCs/>
          <w:spacing w:val="-3"/>
        </w:rPr>
        <w:t>.</w:t>
      </w:r>
    </w:p>
    <w:p w14:paraId="706F64FB" w14:textId="625B8A08" w:rsidR="00CB7F2A" w:rsidRPr="008E536D" w:rsidRDefault="00CB7F2A" w:rsidP="008E536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E536D">
        <w:rPr>
          <w:bCs/>
          <w:spacing w:val="-3"/>
        </w:rPr>
        <w:t>Si la sociedad de origen se constituyó fuera del Espacio Económico Europeo</w:t>
      </w:r>
      <w:r w:rsidR="00F17604" w:rsidRPr="008E536D">
        <w:rPr>
          <w:bCs/>
          <w:spacing w:val="-3"/>
        </w:rPr>
        <w:t xml:space="preserve">, se </w:t>
      </w:r>
      <w:r w:rsidRPr="008E536D">
        <w:rPr>
          <w:bCs/>
          <w:spacing w:val="-3"/>
        </w:rPr>
        <w:t xml:space="preserve">deberá justificar con informe de experto independiente que </w:t>
      </w:r>
      <w:r w:rsidR="00F17604" w:rsidRPr="008E536D">
        <w:rPr>
          <w:bCs/>
          <w:spacing w:val="-3"/>
        </w:rPr>
        <w:t xml:space="preserve">su patrimonio neto cubre la cifra del capital social exigido por el </w:t>
      </w:r>
      <w:r w:rsidR="00F17604" w:rsidRPr="008E536D">
        <w:rPr>
          <w:bCs/>
          <w:spacing w:val="-3"/>
        </w:rPr>
        <w:t>d</w:t>
      </w:r>
      <w:r w:rsidR="00F17604" w:rsidRPr="008E536D">
        <w:rPr>
          <w:bCs/>
          <w:spacing w:val="-3"/>
        </w:rPr>
        <w:t>erecho español</w:t>
      </w:r>
      <w:r w:rsidRPr="008E536D">
        <w:rPr>
          <w:bCs/>
          <w:spacing w:val="-3"/>
        </w:rPr>
        <w:t>.</w:t>
      </w:r>
    </w:p>
    <w:p w14:paraId="66296954" w14:textId="11EAA5DC" w:rsidR="00CB7F2A" w:rsidRPr="008E536D" w:rsidRDefault="004B6BB0" w:rsidP="008E536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E536D">
        <w:rPr>
          <w:bCs/>
          <w:spacing w:val="-3"/>
        </w:rPr>
        <w:t>El procedimiento de traslado es muy similar a</w:t>
      </w:r>
      <w:r w:rsidR="008E536D" w:rsidRPr="008E536D">
        <w:rPr>
          <w:bCs/>
          <w:spacing w:val="-3"/>
        </w:rPr>
        <w:t xml:space="preserve">l del resto de </w:t>
      </w:r>
      <w:r w:rsidR="003F4515">
        <w:rPr>
          <w:bCs/>
          <w:spacing w:val="-3"/>
        </w:rPr>
        <w:t>modificaciones</w:t>
      </w:r>
      <w:r w:rsidR="008E536D" w:rsidRPr="008E536D">
        <w:rPr>
          <w:bCs/>
          <w:spacing w:val="-3"/>
        </w:rPr>
        <w:t xml:space="preserve"> estructurales</w:t>
      </w:r>
      <w:r w:rsidRPr="008E536D">
        <w:rPr>
          <w:bCs/>
          <w:spacing w:val="-3"/>
        </w:rPr>
        <w:t xml:space="preserve">, </w:t>
      </w:r>
      <w:r w:rsidR="00791B18" w:rsidRPr="008E536D">
        <w:rPr>
          <w:bCs/>
          <w:spacing w:val="-3"/>
        </w:rPr>
        <w:t xml:space="preserve">incluyendo el </w:t>
      </w:r>
      <w:r w:rsidR="00CB7F2A" w:rsidRPr="008E536D">
        <w:rPr>
          <w:bCs/>
          <w:spacing w:val="-3"/>
        </w:rPr>
        <w:t xml:space="preserve">derecho de separación </w:t>
      </w:r>
      <w:r w:rsidR="008E536D" w:rsidRPr="008E536D">
        <w:rPr>
          <w:bCs/>
          <w:spacing w:val="-3"/>
        </w:rPr>
        <w:t xml:space="preserve">de los socios disidentes </w:t>
      </w:r>
      <w:r w:rsidR="00CB7F2A" w:rsidRPr="008E536D">
        <w:rPr>
          <w:bCs/>
          <w:spacing w:val="-3"/>
        </w:rPr>
        <w:t xml:space="preserve">y </w:t>
      </w:r>
      <w:r w:rsidR="008E536D" w:rsidRPr="008E536D">
        <w:rPr>
          <w:bCs/>
          <w:spacing w:val="-3"/>
        </w:rPr>
        <w:t xml:space="preserve">el de </w:t>
      </w:r>
      <w:r w:rsidR="00CB7F2A" w:rsidRPr="008E536D">
        <w:rPr>
          <w:bCs/>
          <w:spacing w:val="-3"/>
        </w:rPr>
        <w:t xml:space="preserve">oposición de los </w:t>
      </w:r>
      <w:r w:rsidR="008E536D" w:rsidRPr="008E536D">
        <w:rPr>
          <w:bCs/>
          <w:spacing w:val="-3"/>
        </w:rPr>
        <w:t>acreedores</w:t>
      </w:r>
      <w:r w:rsidR="00CB7F2A" w:rsidRPr="008E536D">
        <w:rPr>
          <w:bCs/>
          <w:spacing w:val="-3"/>
        </w:rPr>
        <w:t>.</w:t>
      </w:r>
    </w:p>
    <w:p w14:paraId="7C66CEA4" w14:textId="7A9956AD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79F13E5" w14:textId="77777777" w:rsidR="005D7FC9" w:rsidRDefault="005D7FC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45BBC3D" w14:textId="446BA2A6" w:rsidR="008E536D" w:rsidRDefault="008E536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04B8947" w14:textId="77777777" w:rsidR="008E536D" w:rsidRDefault="008E536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C69975" w14:textId="26F9F9BE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2DA7EFB" w:rsidR="005726E8" w:rsidRPr="00FF4CC7" w:rsidRDefault="004D5158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27</w:t>
      </w:r>
      <w:r w:rsidR="00FC39A8">
        <w:rPr>
          <w:spacing w:val="-3"/>
        </w:rPr>
        <w:t xml:space="preserve"> de </w:t>
      </w:r>
      <w:r w:rsidR="00211B73">
        <w:rPr>
          <w:spacing w:val="-3"/>
        </w:rPr>
        <w:t>noviemb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8D7CC" w14:textId="77777777" w:rsidR="00132D56" w:rsidRDefault="00132D56" w:rsidP="00DB250B">
      <w:r>
        <w:separator/>
      </w:r>
    </w:p>
  </w:endnote>
  <w:endnote w:type="continuationSeparator" w:id="0">
    <w:p w14:paraId="7AB555C5" w14:textId="77777777" w:rsidR="00132D56" w:rsidRDefault="00132D56" w:rsidP="00DB250B">
      <w:r>
        <w:continuationSeparator/>
      </w:r>
    </w:p>
  </w:endnote>
  <w:endnote w:type="continuationNotice" w:id="1">
    <w:p w14:paraId="6DCE960D" w14:textId="77777777" w:rsidR="00132D56" w:rsidRDefault="00132D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6DBA" w14:textId="77777777" w:rsidR="00132D56" w:rsidRDefault="00132D56" w:rsidP="00DB250B">
      <w:r>
        <w:separator/>
      </w:r>
    </w:p>
  </w:footnote>
  <w:footnote w:type="continuationSeparator" w:id="0">
    <w:p w14:paraId="0456DC5D" w14:textId="77777777" w:rsidR="00132D56" w:rsidRDefault="00132D56" w:rsidP="00DB250B">
      <w:r>
        <w:continuationSeparator/>
      </w:r>
    </w:p>
  </w:footnote>
  <w:footnote w:type="continuationNotice" w:id="1">
    <w:p w14:paraId="1421D430" w14:textId="77777777" w:rsidR="00132D56" w:rsidRDefault="00132D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1234C8"/>
    <w:multiLevelType w:val="hybridMultilevel"/>
    <w:tmpl w:val="59604B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257333"/>
    <w:multiLevelType w:val="hybridMultilevel"/>
    <w:tmpl w:val="690690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1763A4"/>
    <w:multiLevelType w:val="hybridMultilevel"/>
    <w:tmpl w:val="B60A52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0D44C7"/>
    <w:multiLevelType w:val="multilevel"/>
    <w:tmpl w:val="1EA0342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8875CD"/>
    <w:multiLevelType w:val="hybridMultilevel"/>
    <w:tmpl w:val="0A40B6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3CB0874"/>
    <w:multiLevelType w:val="hybridMultilevel"/>
    <w:tmpl w:val="00A29B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DEB74E9"/>
    <w:multiLevelType w:val="hybridMultilevel"/>
    <w:tmpl w:val="A36E23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0F3464"/>
    <w:multiLevelType w:val="hybridMultilevel"/>
    <w:tmpl w:val="4A04D6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E1753C3"/>
    <w:multiLevelType w:val="hybridMultilevel"/>
    <w:tmpl w:val="42E4A4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F517265"/>
    <w:multiLevelType w:val="hybridMultilevel"/>
    <w:tmpl w:val="C26C3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363159E"/>
    <w:multiLevelType w:val="hybridMultilevel"/>
    <w:tmpl w:val="1EA034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D82675A"/>
    <w:multiLevelType w:val="hybridMultilevel"/>
    <w:tmpl w:val="76E25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7"/>
  </w:num>
  <w:num w:numId="9">
    <w:abstractNumId w:val="1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6138"/>
    <w:rsid w:val="000B61AC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CFA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3BDC"/>
    <w:rsid w:val="001544A9"/>
    <w:rsid w:val="00154E3A"/>
    <w:rsid w:val="00154E9D"/>
    <w:rsid w:val="00154FC5"/>
    <w:rsid w:val="00155637"/>
    <w:rsid w:val="00155697"/>
    <w:rsid w:val="00155DCD"/>
    <w:rsid w:val="00156A97"/>
    <w:rsid w:val="00156DC8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AC1"/>
    <w:rsid w:val="00176D1C"/>
    <w:rsid w:val="00176EEA"/>
    <w:rsid w:val="00176F37"/>
    <w:rsid w:val="0017707B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712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3937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28A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515"/>
    <w:rsid w:val="003F48BF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86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A15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B75AB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F08"/>
    <w:rsid w:val="005F116F"/>
    <w:rsid w:val="005F1400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882"/>
    <w:rsid w:val="006F2D27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B18"/>
    <w:rsid w:val="00791F1F"/>
    <w:rsid w:val="00792025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3"/>
    <w:rsid w:val="008124CA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44F4"/>
    <w:rsid w:val="008B5180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36D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A4A"/>
    <w:rsid w:val="00A56B96"/>
    <w:rsid w:val="00A56E35"/>
    <w:rsid w:val="00A5712B"/>
    <w:rsid w:val="00A57338"/>
    <w:rsid w:val="00A57E82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3D75"/>
    <w:rsid w:val="00B34DEA"/>
    <w:rsid w:val="00B34F6C"/>
    <w:rsid w:val="00B35859"/>
    <w:rsid w:val="00B35A14"/>
    <w:rsid w:val="00B35FA4"/>
    <w:rsid w:val="00B36803"/>
    <w:rsid w:val="00B37043"/>
    <w:rsid w:val="00B373C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5AA3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6FE"/>
    <w:rsid w:val="00C657AB"/>
    <w:rsid w:val="00C658A9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67F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422D"/>
    <w:rsid w:val="00E754EE"/>
    <w:rsid w:val="00E75716"/>
    <w:rsid w:val="00E7571C"/>
    <w:rsid w:val="00E75D36"/>
    <w:rsid w:val="00E76574"/>
    <w:rsid w:val="00E76885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1AF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15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982"/>
    <w:rsid w:val="00F25B34"/>
    <w:rsid w:val="00F25BDB"/>
    <w:rsid w:val="00F25D0F"/>
    <w:rsid w:val="00F26467"/>
    <w:rsid w:val="00F265C7"/>
    <w:rsid w:val="00F27351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7</Pages>
  <Words>1972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157</cp:revision>
  <cp:lastPrinted>2022-11-15T11:56:00Z</cp:lastPrinted>
  <dcterms:created xsi:type="dcterms:W3CDTF">2022-11-19T06:19:00Z</dcterms:created>
  <dcterms:modified xsi:type="dcterms:W3CDTF">2022-11-27T17:44:00Z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