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9C72B0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1334D">
        <w:rPr>
          <w:b/>
          <w:bCs/>
          <w:sz w:val="28"/>
          <w:szCs w:val="28"/>
        </w:rPr>
        <w:t>3</w:t>
      </w:r>
      <w:r w:rsidR="00192352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7EBDDEE8" w:rsidR="000E1F14" w:rsidRDefault="00192352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192352">
        <w:rPr>
          <w:b/>
          <w:bCs/>
          <w:color w:val="000000"/>
          <w:sz w:val="28"/>
          <w:szCs w:val="28"/>
        </w:rPr>
        <w:t>EL DERECHO MARÍTIMO. EL BUQUE. LOS SUJETOS DE LA NAVEGACIÓN. REFERENCIA A LOS CONTRATOS DE UTILIZACIÓN DEL BUQUE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16ACBD71" w:rsidR="00BF215A" w:rsidRPr="00E57D65" w:rsidRDefault="00192352" w:rsidP="00E57D65">
      <w:pPr>
        <w:spacing w:before="120" w:after="120" w:line="360" w:lineRule="auto"/>
        <w:jc w:val="both"/>
        <w:rPr>
          <w:bCs/>
          <w:spacing w:val="-3"/>
        </w:rPr>
      </w:pPr>
      <w:r w:rsidRPr="00192352">
        <w:rPr>
          <w:b/>
          <w:bCs/>
          <w:spacing w:val="-3"/>
        </w:rPr>
        <w:t>EL DERECHO MARÍTIMO</w:t>
      </w:r>
      <w:r w:rsidR="0081066B">
        <w:rPr>
          <w:b/>
          <w:bCs/>
          <w:spacing w:val="-3"/>
        </w:rPr>
        <w:t>.</w:t>
      </w:r>
    </w:p>
    <w:p w14:paraId="057F25CC" w14:textId="06403E19" w:rsidR="008A396E" w:rsidRPr="008A396E" w:rsidRDefault="006C77FC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concepto legal </w:t>
      </w:r>
      <w:r w:rsidR="00A13847">
        <w:rPr>
          <w:bCs/>
          <w:spacing w:val="-3"/>
        </w:rPr>
        <w:t xml:space="preserve">del </w:t>
      </w:r>
      <w:r w:rsidR="003B1840">
        <w:rPr>
          <w:bCs/>
          <w:spacing w:val="-3"/>
        </w:rPr>
        <w:t>d</w:t>
      </w:r>
      <w:r w:rsidR="00A13847">
        <w:rPr>
          <w:bCs/>
          <w:spacing w:val="-3"/>
        </w:rPr>
        <w:t xml:space="preserve">erecho </w:t>
      </w:r>
      <w:r w:rsidR="003B1840">
        <w:rPr>
          <w:bCs/>
          <w:spacing w:val="-3"/>
        </w:rPr>
        <w:t>m</w:t>
      </w:r>
      <w:r w:rsidR="00A13847">
        <w:rPr>
          <w:bCs/>
          <w:spacing w:val="-3"/>
        </w:rPr>
        <w:t>arít</w:t>
      </w:r>
      <w:r w:rsidR="00A06AA1">
        <w:rPr>
          <w:bCs/>
          <w:spacing w:val="-3"/>
        </w:rPr>
        <w:t>i</w:t>
      </w:r>
      <w:r w:rsidR="00A13847">
        <w:rPr>
          <w:bCs/>
          <w:spacing w:val="-3"/>
        </w:rPr>
        <w:t xml:space="preserve">mo </w:t>
      </w:r>
      <w:r w:rsidR="00A06AA1">
        <w:rPr>
          <w:bCs/>
          <w:spacing w:val="-3"/>
        </w:rPr>
        <w:t xml:space="preserve">la recoge el artículo 1 de la </w:t>
      </w:r>
      <w:r w:rsidR="0073591B">
        <w:rPr>
          <w:bCs/>
          <w:spacing w:val="-3"/>
        </w:rPr>
        <w:t xml:space="preserve">Ley </w:t>
      </w:r>
      <w:r w:rsidR="008A396E" w:rsidRPr="008A396E">
        <w:rPr>
          <w:bCs/>
          <w:spacing w:val="-3"/>
        </w:rPr>
        <w:t>de Navegación Marítima</w:t>
      </w:r>
      <w:r w:rsidR="007E2EE2">
        <w:rPr>
          <w:bCs/>
          <w:spacing w:val="-3"/>
        </w:rPr>
        <w:t xml:space="preserve"> de 24 de julio de 2014</w:t>
      </w:r>
      <w:r w:rsidR="00BC0EAD">
        <w:rPr>
          <w:bCs/>
          <w:spacing w:val="-3"/>
        </w:rPr>
        <w:t xml:space="preserve">, </w:t>
      </w:r>
      <w:r w:rsidR="00A06AA1">
        <w:rPr>
          <w:bCs/>
          <w:spacing w:val="-3"/>
        </w:rPr>
        <w:t>que afirma que su</w:t>
      </w:r>
      <w:r w:rsidR="00BC0EAD">
        <w:rPr>
          <w:bCs/>
          <w:spacing w:val="-3"/>
        </w:rPr>
        <w:t xml:space="preserve"> </w:t>
      </w:r>
      <w:r w:rsidR="008A396E" w:rsidRPr="008A396E">
        <w:rPr>
          <w:bCs/>
          <w:spacing w:val="-3"/>
        </w:rPr>
        <w:t>objeto es la regulación de las situaciones y relaciones jurídicas nacidas con ocasión de la navegación marítima.</w:t>
      </w:r>
    </w:p>
    <w:p w14:paraId="2E13A320" w14:textId="1DCA77B8" w:rsidR="008A396E" w:rsidRPr="008A396E" w:rsidRDefault="00A06AA1" w:rsidP="00A06AA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Conforme a</w:t>
      </w:r>
      <w:r w:rsidR="001F274E">
        <w:rPr>
          <w:bCs/>
          <w:spacing w:val="-3"/>
        </w:rPr>
        <w:t xml:space="preserve"> su</w:t>
      </w:r>
      <w:r>
        <w:rPr>
          <w:bCs/>
          <w:spacing w:val="-3"/>
        </w:rPr>
        <w:t xml:space="preserve"> artículo 2, tal Ley</w:t>
      </w:r>
      <w:r w:rsidR="008A396E" w:rsidRPr="008A396E">
        <w:rPr>
          <w:bCs/>
          <w:spacing w:val="-3"/>
        </w:rPr>
        <w:t xml:space="preserve"> se aplicará en tanto no se oponga a lo dispuesto en los tratados internacionales vigentes en España y en las normas de la Unión Europea que regulen la misma materia. De forma supletoria se estará a las leyes y reglamentos complementarios y a los usos y costumbres relativos a la navegación marítima. A falta de todo ello y en cuanto no se pudiere recurrir a la analogía se aplicará el </w:t>
      </w:r>
      <w:r w:rsidR="003B1840">
        <w:rPr>
          <w:bCs/>
          <w:spacing w:val="-3"/>
        </w:rPr>
        <w:t>d</w:t>
      </w:r>
      <w:r w:rsidR="008A396E" w:rsidRPr="008A396E">
        <w:rPr>
          <w:bCs/>
          <w:spacing w:val="-3"/>
        </w:rPr>
        <w:t>erecho común.</w:t>
      </w:r>
    </w:p>
    <w:p w14:paraId="478ED841" w14:textId="3739513E" w:rsidR="006928BF" w:rsidRDefault="006928BF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principales n</w:t>
      </w:r>
      <w:r w:rsidR="003B1840">
        <w:rPr>
          <w:bCs/>
          <w:spacing w:val="-3"/>
        </w:rPr>
        <w:t xml:space="preserve">ormas complementarias </w:t>
      </w:r>
      <w:r>
        <w:rPr>
          <w:bCs/>
          <w:spacing w:val="-3"/>
        </w:rPr>
        <w:t>son las siguientes:</w:t>
      </w:r>
    </w:p>
    <w:p w14:paraId="2CEE8E24" w14:textId="4256355D" w:rsidR="00C140F8" w:rsidRPr="00C140F8" w:rsidRDefault="00C140F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>El texto Refundido de la Ley de Puertos del Estado y de la Marina Mercante de 5 de septiembre de 2011.</w:t>
      </w:r>
    </w:p>
    <w:p w14:paraId="5486C409" w14:textId="77777777" w:rsidR="003362C8" w:rsidRPr="00C140F8" w:rsidRDefault="003362C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</w:t>
      </w:r>
      <w:r w:rsidR="008A396E" w:rsidRPr="00C140F8">
        <w:rPr>
          <w:bCs/>
          <w:spacing w:val="-3"/>
        </w:rPr>
        <w:t>Ley de Costas</w:t>
      </w:r>
      <w:r w:rsidRPr="00C140F8">
        <w:rPr>
          <w:bCs/>
          <w:spacing w:val="-3"/>
        </w:rPr>
        <w:t xml:space="preserve"> de 28 de julio de 1988.</w:t>
      </w:r>
    </w:p>
    <w:p w14:paraId="7C478239" w14:textId="77777777" w:rsidR="009E4986" w:rsidRPr="00C140F8" w:rsidRDefault="003362C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</w:t>
      </w:r>
      <w:r w:rsidR="009E4986" w:rsidRPr="00C140F8">
        <w:rPr>
          <w:bCs/>
          <w:spacing w:val="-3"/>
        </w:rPr>
        <w:t>Ley sobre Mar Territorial de 4 de enero de 1977.</w:t>
      </w:r>
    </w:p>
    <w:p w14:paraId="0496D8AD" w14:textId="74269397" w:rsidR="000B752A" w:rsidRDefault="009E4986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Ley </w:t>
      </w:r>
      <w:r w:rsidR="008A396E" w:rsidRPr="00C140F8">
        <w:rPr>
          <w:bCs/>
          <w:spacing w:val="-3"/>
        </w:rPr>
        <w:t>sobre Zona Económica Exclusiva</w:t>
      </w:r>
      <w:r w:rsidR="000B752A" w:rsidRPr="00C140F8">
        <w:rPr>
          <w:bCs/>
          <w:spacing w:val="-3"/>
        </w:rPr>
        <w:t xml:space="preserve"> de 20 de febrero de 1978.</w:t>
      </w:r>
    </w:p>
    <w:p w14:paraId="06F90344" w14:textId="6599D957" w:rsidR="00097EF9" w:rsidRPr="00C140F8" w:rsidRDefault="00097EF9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Pr="00097EF9">
        <w:rPr>
          <w:bCs/>
          <w:spacing w:val="-3"/>
        </w:rPr>
        <w:t xml:space="preserve">Ley </w:t>
      </w:r>
      <w:r>
        <w:rPr>
          <w:bCs/>
          <w:spacing w:val="-3"/>
        </w:rPr>
        <w:t xml:space="preserve">sobre </w:t>
      </w:r>
      <w:r w:rsidR="000957B0">
        <w:rPr>
          <w:bCs/>
          <w:spacing w:val="-3"/>
        </w:rPr>
        <w:t>A</w:t>
      </w:r>
      <w:r w:rsidRPr="00097EF9">
        <w:rPr>
          <w:bCs/>
          <w:spacing w:val="-3"/>
        </w:rPr>
        <w:t xml:space="preserve">uxilios, </w:t>
      </w:r>
      <w:r w:rsidR="000957B0">
        <w:rPr>
          <w:bCs/>
          <w:spacing w:val="-3"/>
        </w:rPr>
        <w:t>S</w:t>
      </w:r>
      <w:r w:rsidRPr="00097EF9">
        <w:rPr>
          <w:bCs/>
          <w:spacing w:val="-3"/>
        </w:rPr>
        <w:t xml:space="preserve">alvamentos, </w:t>
      </w:r>
      <w:r w:rsidR="000957B0">
        <w:rPr>
          <w:bCs/>
          <w:spacing w:val="-3"/>
        </w:rPr>
        <w:t>R</w:t>
      </w:r>
      <w:r w:rsidRPr="00097EF9">
        <w:rPr>
          <w:bCs/>
          <w:spacing w:val="-3"/>
        </w:rPr>
        <w:t xml:space="preserve">emolques, </w:t>
      </w:r>
      <w:r w:rsidR="000957B0">
        <w:rPr>
          <w:bCs/>
          <w:spacing w:val="-3"/>
        </w:rPr>
        <w:t>H</w:t>
      </w:r>
      <w:r w:rsidRPr="00097EF9">
        <w:rPr>
          <w:bCs/>
          <w:spacing w:val="-3"/>
        </w:rPr>
        <w:t xml:space="preserve">allazgos y </w:t>
      </w:r>
      <w:r w:rsidR="000957B0">
        <w:rPr>
          <w:bCs/>
          <w:spacing w:val="-3"/>
        </w:rPr>
        <w:t>E</w:t>
      </w:r>
      <w:r w:rsidRPr="00097EF9">
        <w:rPr>
          <w:bCs/>
          <w:spacing w:val="-3"/>
        </w:rPr>
        <w:t xml:space="preserve">xtracciones </w:t>
      </w:r>
      <w:r w:rsidR="000957B0">
        <w:rPr>
          <w:bCs/>
          <w:spacing w:val="-3"/>
        </w:rPr>
        <w:t>M</w:t>
      </w:r>
      <w:r w:rsidRPr="00097EF9">
        <w:rPr>
          <w:bCs/>
          <w:spacing w:val="-3"/>
        </w:rPr>
        <w:t>arítimos</w:t>
      </w:r>
      <w:r w:rsidR="000957B0">
        <w:rPr>
          <w:bCs/>
          <w:spacing w:val="-3"/>
        </w:rPr>
        <w:t xml:space="preserve"> </w:t>
      </w:r>
      <w:r w:rsidR="000957B0" w:rsidRPr="00097EF9">
        <w:rPr>
          <w:bCs/>
          <w:spacing w:val="-3"/>
        </w:rPr>
        <w:t>de 24 de diciembre</w:t>
      </w:r>
      <w:r w:rsidR="000957B0">
        <w:rPr>
          <w:bCs/>
          <w:spacing w:val="-3"/>
        </w:rPr>
        <w:t xml:space="preserve"> de 1962.</w:t>
      </w:r>
    </w:p>
    <w:p w14:paraId="0361F306" w14:textId="77777777" w:rsidR="004D7B57" w:rsidRPr="00C140F8" w:rsidRDefault="004D7B57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>El Real Decreto de 3 de diciembre de 1999, que crea el Registro de Bienes Muebles y, como sección del mismo, la de buques y aeronaves.</w:t>
      </w:r>
    </w:p>
    <w:p w14:paraId="5A699FEC" w14:textId="66CF696E" w:rsidR="004D7B57" w:rsidRPr="00C140F8" w:rsidRDefault="004D7B57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>El Real Decreto sobre abanderamiento, matriculación de buques y registro marítimo de 28 de julio de 1989.</w:t>
      </w:r>
    </w:p>
    <w:p w14:paraId="0336A9F0" w14:textId="7AD7758D" w:rsidR="008A396E" w:rsidRDefault="00C140F8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Dentro de las normas internacionales</w:t>
      </w:r>
      <w:r w:rsidR="00EF2BB9">
        <w:rPr>
          <w:bCs/>
          <w:spacing w:val="-3"/>
        </w:rPr>
        <w:t>,</w:t>
      </w:r>
      <w:r>
        <w:rPr>
          <w:bCs/>
          <w:spacing w:val="-3"/>
        </w:rPr>
        <w:t xml:space="preserve"> destacan especialmente </w:t>
      </w:r>
      <w:r w:rsidR="00486A5B">
        <w:rPr>
          <w:bCs/>
          <w:spacing w:val="-3"/>
        </w:rPr>
        <w:t>l</w:t>
      </w:r>
      <w:r w:rsidR="00C71D7D">
        <w:rPr>
          <w:bCs/>
          <w:spacing w:val="-3"/>
        </w:rPr>
        <w:t>a Convención</w:t>
      </w:r>
      <w:r w:rsidR="008A396E" w:rsidRPr="008A396E">
        <w:rPr>
          <w:bCs/>
          <w:spacing w:val="-3"/>
        </w:rPr>
        <w:t xml:space="preserve"> de las Naciones Unidas sobre el Derecho del Mar de </w:t>
      </w:r>
      <w:r w:rsidR="00A55E64">
        <w:rPr>
          <w:bCs/>
          <w:spacing w:val="-3"/>
        </w:rPr>
        <w:t>10 de diciembre</w:t>
      </w:r>
      <w:r w:rsidR="008A396E" w:rsidRPr="008A396E">
        <w:rPr>
          <w:bCs/>
          <w:spacing w:val="-3"/>
        </w:rPr>
        <w:t>1982,</w:t>
      </w:r>
      <w:r w:rsidR="00A55E64">
        <w:rPr>
          <w:bCs/>
          <w:spacing w:val="-3"/>
        </w:rPr>
        <w:t xml:space="preserve"> ratificada por España en 19</w:t>
      </w:r>
      <w:r w:rsidR="00755FB4">
        <w:rPr>
          <w:bCs/>
          <w:spacing w:val="-3"/>
        </w:rPr>
        <w:t>96</w:t>
      </w:r>
      <w:r w:rsidR="00486A5B">
        <w:rPr>
          <w:bCs/>
          <w:spacing w:val="-3"/>
        </w:rPr>
        <w:t>, y e</w:t>
      </w:r>
      <w:r w:rsidR="000D0FDB">
        <w:rPr>
          <w:bCs/>
          <w:spacing w:val="-3"/>
        </w:rPr>
        <w:t xml:space="preserve">l </w:t>
      </w:r>
      <w:r w:rsidR="000D0FDB" w:rsidRPr="000D0FDB">
        <w:rPr>
          <w:bCs/>
          <w:spacing w:val="-3"/>
        </w:rPr>
        <w:t xml:space="preserve">Convenio sobre los </w:t>
      </w:r>
      <w:r w:rsidR="000D0FDB">
        <w:rPr>
          <w:bCs/>
          <w:spacing w:val="-3"/>
        </w:rPr>
        <w:t>P</w:t>
      </w:r>
      <w:r w:rsidR="000D0FDB" w:rsidRPr="000D0FDB">
        <w:rPr>
          <w:bCs/>
          <w:spacing w:val="-3"/>
        </w:rPr>
        <w:t xml:space="preserve">rivilegios </w:t>
      </w:r>
      <w:r w:rsidR="000D0FDB">
        <w:rPr>
          <w:bCs/>
          <w:spacing w:val="-3"/>
        </w:rPr>
        <w:t>M</w:t>
      </w:r>
      <w:r w:rsidR="000D0FDB" w:rsidRPr="000D0FDB">
        <w:rPr>
          <w:bCs/>
          <w:spacing w:val="-3"/>
        </w:rPr>
        <w:t xml:space="preserve">arítimos y la </w:t>
      </w:r>
      <w:r w:rsidR="000D0FDB">
        <w:rPr>
          <w:bCs/>
          <w:spacing w:val="-3"/>
        </w:rPr>
        <w:t>H</w:t>
      </w:r>
      <w:r w:rsidR="000D0FDB" w:rsidRPr="000D0FDB">
        <w:rPr>
          <w:bCs/>
          <w:spacing w:val="-3"/>
        </w:rPr>
        <w:t xml:space="preserve">ipoteca </w:t>
      </w:r>
      <w:r w:rsidR="000D0FDB">
        <w:rPr>
          <w:bCs/>
          <w:spacing w:val="-3"/>
        </w:rPr>
        <w:t>N</w:t>
      </w:r>
      <w:r w:rsidR="000D0FDB" w:rsidRPr="000D0FDB">
        <w:rPr>
          <w:bCs/>
          <w:spacing w:val="-3"/>
        </w:rPr>
        <w:t>aval</w:t>
      </w:r>
      <w:r w:rsidR="000D0FDB">
        <w:rPr>
          <w:bCs/>
          <w:spacing w:val="-3"/>
        </w:rPr>
        <w:t xml:space="preserve"> de</w:t>
      </w:r>
      <w:r w:rsidR="000D0FDB" w:rsidRPr="000D0FDB">
        <w:rPr>
          <w:bCs/>
          <w:spacing w:val="-3"/>
        </w:rPr>
        <w:t xml:space="preserve"> 1993</w:t>
      </w:r>
      <w:r w:rsidR="00EF2BB9">
        <w:rPr>
          <w:bCs/>
          <w:spacing w:val="-3"/>
        </w:rPr>
        <w:t xml:space="preserve">. No obstante, </w:t>
      </w:r>
      <w:r w:rsidR="00B56CFE">
        <w:rPr>
          <w:bCs/>
          <w:spacing w:val="-3"/>
        </w:rPr>
        <w:t>a</w:t>
      </w:r>
      <w:r w:rsidR="00B56CFE" w:rsidRPr="00B56CFE">
        <w:rPr>
          <w:bCs/>
          <w:spacing w:val="-3"/>
        </w:rPr>
        <w:t xml:space="preserve">l igual que en otros ámbitos del comercio internacional, presentan gran importancia las normas de </w:t>
      </w:r>
      <w:r w:rsidR="00B56CFE" w:rsidRPr="00B56CFE">
        <w:rPr>
          <w:bCs/>
          <w:i/>
          <w:iCs/>
          <w:spacing w:val="-3"/>
        </w:rPr>
        <w:t>soft law</w:t>
      </w:r>
      <w:r w:rsidR="00B56CFE" w:rsidRPr="00B56CFE">
        <w:rPr>
          <w:bCs/>
          <w:spacing w:val="-3"/>
        </w:rPr>
        <w:t>, como los contratos-tipo de</w:t>
      </w:r>
      <w:r w:rsidR="002B3AEB">
        <w:rPr>
          <w:bCs/>
          <w:spacing w:val="-3"/>
        </w:rPr>
        <w:t>l Consejo Marítimo Internacional</w:t>
      </w:r>
      <w:r w:rsidR="00723FFD">
        <w:rPr>
          <w:bCs/>
          <w:spacing w:val="-3"/>
        </w:rPr>
        <w:t xml:space="preserve">, </w:t>
      </w:r>
      <w:r w:rsidR="00723FFD" w:rsidRPr="00723FFD">
        <w:rPr>
          <w:bCs/>
          <w:spacing w:val="-3"/>
        </w:rPr>
        <w:t xml:space="preserve">las condiciones generales de la contratación </w:t>
      </w:r>
      <w:r w:rsidR="00723FFD">
        <w:rPr>
          <w:bCs/>
          <w:spacing w:val="-3"/>
        </w:rPr>
        <w:t>conocidas como r</w:t>
      </w:r>
      <w:r w:rsidR="00723FFD" w:rsidRPr="00723FFD">
        <w:rPr>
          <w:bCs/>
          <w:spacing w:val="-3"/>
        </w:rPr>
        <w:t>eglas de York y Amberes</w:t>
      </w:r>
      <w:r w:rsidR="002B3AEB">
        <w:rPr>
          <w:bCs/>
          <w:spacing w:val="-3"/>
        </w:rPr>
        <w:t xml:space="preserve"> o los </w:t>
      </w:r>
      <w:r w:rsidR="00E0677B" w:rsidRPr="0077552B">
        <w:rPr>
          <w:bCs/>
          <w:i/>
          <w:iCs/>
          <w:spacing w:val="-3"/>
        </w:rPr>
        <w:t>INCOTERMS</w:t>
      </w:r>
      <w:r w:rsidR="00E0677B" w:rsidRPr="00F31DA5">
        <w:rPr>
          <w:bCs/>
          <w:spacing w:val="-3"/>
        </w:rPr>
        <w:t xml:space="preserve"> </w:t>
      </w:r>
      <w:r w:rsidR="002B3AEB">
        <w:rPr>
          <w:bCs/>
          <w:spacing w:val="-3"/>
        </w:rPr>
        <w:t>de</w:t>
      </w:r>
      <w:r w:rsidR="00E0677B">
        <w:rPr>
          <w:bCs/>
          <w:spacing w:val="-3"/>
        </w:rPr>
        <w:t xml:space="preserve"> la Cámara de Comercio Internacional.</w:t>
      </w:r>
    </w:p>
    <w:p w14:paraId="2CF65BFA" w14:textId="55AE4ACA" w:rsidR="008A396E" w:rsidRDefault="00C67BD4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las notas que caracterizan al derecho marítimo son su universalidad</w:t>
      </w:r>
      <w:r w:rsidR="001467B5">
        <w:rPr>
          <w:bCs/>
          <w:spacing w:val="-3"/>
        </w:rPr>
        <w:t xml:space="preserve"> </w:t>
      </w:r>
      <w:r w:rsidR="00451C62">
        <w:rPr>
          <w:bCs/>
          <w:spacing w:val="-3"/>
        </w:rPr>
        <w:t>e internacionalización</w:t>
      </w:r>
      <w:r>
        <w:rPr>
          <w:bCs/>
          <w:spacing w:val="-3"/>
        </w:rPr>
        <w:t xml:space="preserve">, </w:t>
      </w:r>
      <w:r w:rsidR="001467B5">
        <w:rPr>
          <w:bCs/>
          <w:spacing w:val="-3"/>
        </w:rPr>
        <w:t>su</w:t>
      </w:r>
      <w:r>
        <w:rPr>
          <w:bCs/>
          <w:spacing w:val="-3"/>
        </w:rPr>
        <w:t xml:space="preserve"> carácter eminenteme</w:t>
      </w:r>
      <w:r w:rsidR="001467B5">
        <w:rPr>
          <w:bCs/>
          <w:spacing w:val="-3"/>
        </w:rPr>
        <w:t>nte dispositivo, el fuerte intervencionismo de los Estados</w:t>
      </w:r>
      <w:r w:rsidR="008C0756">
        <w:rPr>
          <w:bCs/>
          <w:spacing w:val="-3"/>
        </w:rPr>
        <w:t xml:space="preserve"> y el particularismo de algunas de sus instituciones.</w:t>
      </w:r>
    </w:p>
    <w:p w14:paraId="050B8D8A" w14:textId="77777777" w:rsidR="008C0756" w:rsidRPr="008A396E" w:rsidRDefault="008C0756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2334E48" w14:textId="290C3E70" w:rsidR="008A396E" w:rsidRPr="00A85C1F" w:rsidRDefault="008A396E" w:rsidP="00A85C1F">
      <w:pPr>
        <w:spacing w:before="120" w:after="120" w:line="360" w:lineRule="auto"/>
        <w:jc w:val="both"/>
        <w:rPr>
          <w:b/>
          <w:spacing w:val="-3"/>
        </w:rPr>
      </w:pPr>
      <w:r w:rsidRPr="00A85C1F">
        <w:rPr>
          <w:b/>
          <w:spacing w:val="-3"/>
        </w:rPr>
        <w:t>EL BUQUE.</w:t>
      </w:r>
    </w:p>
    <w:p w14:paraId="2304196A" w14:textId="36B667F0" w:rsidR="008A396E" w:rsidRPr="008A396E" w:rsidRDefault="00E717DD" w:rsidP="00B2531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vehículos de la navegación están regulados p</w:t>
      </w:r>
      <w:r w:rsidR="00C14F39">
        <w:rPr>
          <w:bCs/>
          <w:spacing w:val="-3"/>
        </w:rPr>
        <w:t xml:space="preserve">or el Título II de la Ley de Navegación Marítima, </w:t>
      </w:r>
      <w:r w:rsidR="00AC2014">
        <w:rPr>
          <w:bCs/>
          <w:spacing w:val="-3"/>
        </w:rPr>
        <w:t xml:space="preserve">y el más importante de ellos es el </w:t>
      </w:r>
      <w:r w:rsidR="008A396E" w:rsidRPr="008A396E">
        <w:rPr>
          <w:bCs/>
          <w:spacing w:val="-3"/>
        </w:rPr>
        <w:t>buque</w:t>
      </w:r>
      <w:r w:rsidR="00AC2014">
        <w:rPr>
          <w:bCs/>
          <w:spacing w:val="-3"/>
        </w:rPr>
        <w:t xml:space="preserve">, que el artículo 56 define como </w:t>
      </w:r>
      <w:r w:rsidR="00B25317" w:rsidRPr="00B25317">
        <w:rPr>
          <w:bCs/>
          <w:spacing w:val="-3"/>
        </w:rPr>
        <w:t>todo veh</w:t>
      </w:r>
      <w:r w:rsidR="00B25317" w:rsidRPr="00B25317">
        <w:rPr>
          <w:rFonts w:hint="eastAsia"/>
          <w:bCs/>
          <w:spacing w:val="-3"/>
        </w:rPr>
        <w:t>í</w:t>
      </w:r>
      <w:r w:rsidR="00B25317" w:rsidRPr="00B25317">
        <w:rPr>
          <w:bCs/>
          <w:spacing w:val="-3"/>
        </w:rPr>
        <w:t>culo con estructura y capacidad para navegar por el mar y para transportar personas o cosas, que cuente con cubierta corrida y de eslora igual o superior a veinticuatro metros</w:t>
      </w:r>
      <w:r w:rsidR="005940B2">
        <w:rPr>
          <w:bCs/>
          <w:spacing w:val="-3"/>
        </w:rPr>
        <w:t xml:space="preserve">, añadiendo </w:t>
      </w:r>
      <w:r w:rsidR="004D4D78">
        <w:rPr>
          <w:bCs/>
          <w:spacing w:val="-3"/>
        </w:rPr>
        <w:t>los</w:t>
      </w:r>
      <w:r w:rsidR="005940B2">
        <w:rPr>
          <w:bCs/>
          <w:spacing w:val="-3"/>
        </w:rPr>
        <w:t xml:space="preserve"> artículo</w:t>
      </w:r>
      <w:r w:rsidR="004D4D78">
        <w:rPr>
          <w:bCs/>
          <w:spacing w:val="-3"/>
        </w:rPr>
        <w:t>s</w:t>
      </w:r>
      <w:r w:rsidR="005940B2">
        <w:rPr>
          <w:bCs/>
          <w:spacing w:val="-3"/>
        </w:rPr>
        <w:t xml:space="preserve"> 60 </w:t>
      </w:r>
      <w:r w:rsidR="004D4D78">
        <w:rPr>
          <w:bCs/>
          <w:spacing w:val="-3"/>
        </w:rPr>
        <w:t xml:space="preserve">a 62 </w:t>
      </w:r>
      <w:r w:rsidR="0063056C">
        <w:rPr>
          <w:bCs/>
          <w:spacing w:val="-3"/>
        </w:rPr>
        <w:t>que</w:t>
      </w:r>
      <w:r w:rsidR="005940B2">
        <w:rPr>
          <w:bCs/>
          <w:spacing w:val="-3"/>
        </w:rPr>
        <w:t>:</w:t>
      </w:r>
    </w:p>
    <w:p w14:paraId="0E2E7215" w14:textId="3C014E3C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El buque es un bien mueble registrable, compuesto de partes integrantes y pertenencias.</w:t>
      </w:r>
    </w:p>
    <w:p w14:paraId="26DB5457" w14:textId="62347DD2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Son partes integrantes los elementos estructura</w:t>
      </w:r>
      <w:r w:rsidR="0063056C" w:rsidRPr="00B7713E">
        <w:rPr>
          <w:bCs/>
          <w:spacing w:val="-3"/>
        </w:rPr>
        <w:t>les</w:t>
      </w:r>
      <w:r w:rsidRPr="00B7713E">
        <w:rPr>
          <w:bCs/>
          <w:spacing w:val="-3"/>
        </w:rPr>
        <w:t xml:space="preserve"> del buque.</w:t>
      </w:r>
    </w:p>
    <w:p w14:paraId="473F56BC" w14:textId="0952F707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 xml:space="preserve">Son pertenencias los elementos </w:t>
      </w:r>
      <w:r w:rsidR="000A0EB6" w:rsidRPr="00B7713E">
        <w:rPr>
          <w:bCs/>
          <w:spacing w:val="-3"/>
        </w:rPr>
        <w:t xml:space="preserve">no estructurales </w:t>
      </w:r>
      <w:r w:rsidRPr="00B7713E">
        <w:rPr>
          <w:bCs/>
          <w:spacing w:val="-3"/>
        </w:rPr>
        <w:t>destinados al servicio del buque de un modo permanente.</w:t>
      </w:r>
    </w:p>
    <w:p w14:paraId="63EF4EEC" w14:textId="4EDB7F37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El buque conserva su identidad aun cuando sus partes integrantes o pertenencias sean sucesivamente sustituidas.</w:t>
      </w:r>
    </w:p>
    <w:p w14:paraId="6EB3B1C3" w14:textId="2FD942C0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El buque se identifica</w:t>
      </w:r>
      <w:r w:rsidR="00841DA2" w:rsidRPr="00B7713E">
        <w:rPr>
          <w:bCs/>
          <w:spacing w:val="-3"/>
        </w:rPr>
        <w:t xml:space="preserve"> principalmente</w:t>
      </w:r>
      <w:r w:rsidRPr="00B7713E">
        <w:rPr>
          <w:bCs/>
          <w:spacing w:val="-3"/>
        </w:rPr>
        <w:t xml:space="preserve"> por su nombre, matrícula, numeración de la Organización Marítima Internacional, pabellón</w:t>
      </w:r>
      <w:r w:rsidR="00841DA2" w:rsidRPr="00B7713E">
        <w:rPr>
          <w:bCs/>
          <w:spacing w:val="-3"/>
        </w:rPr>
        <w:t xml:space="preserve"> y</w:t>
      </w:r>
      <w:r w:rsidRPr="00B7713E">
        <w:rPr>
          <w:bCs/>
          <w:spacing w:val="-3"/>
        </w:rPr>
        <w:t xml:space="preserve"> arqueo.</w:t>
      </w:r>
    </w:p>
    <w:p w14:paraId="5EDB058E" w14:textId="3712B2FF" w:rsidR="008A396E" w:rsidRPr="00B7713E" w:rsidRDefault="004D4D78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S</w:t>
      </w:r>
      <w:r w:rsidR="008A396E" w:rsidRPr="00B7713E">
        <w:rPr>
          <w:bCs/>
          <w:spacing w:val="-3"/>
        </w:rPr>
        <w:t>on accesorios los elementos consumibles adscritos al buque de un modo temporal.</w:t>
      </w:r>
    </w:p>
    <w:p w14:paraId="4CFAF000" w14:textId="12702214" w:rsidR="008A396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 xml:space="preserve">Los negocios jurídicos relativos al buque, la propiedad y los demás derechos que recaigan sobre él comprenderán sus partes integrantes y pertenencias pero no sus accesorios, salvo pacto en contrario. No obstante, quedan exceptuadas las pertenencias inscritas en el Registro de Bienes Muebles a nombre de un tercero o </w:t>
      </w:r>
      <w:r w:rsidRPr="00B7713E">
        <w:rPr>
          <w:bCs/>
          <w:spacing w:val="-3"/>
        </w:rPr>
        <w:lastRenderedPageBreak/>
        <w:t>cuyo dominio haya sido adquirido por él con fecha anterior al correspondiente negocio jurídico o acto generador de gravamen.</w:t>
      </w:r>
    </w:p>
    <w:p w14:paraId="40BBF5A7" w14:textId="77777777" w:rsidR="009E0AAD" w:rsidRPr="009E0AAD" w:rsidRDefault="004173D4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t>En caso de condominio naval, p</w:t>
      </w:r>
      <w:r w:rsidRPr="00650B1A">
        <w:t>ara la realización de cualquier acto o negocio jurídico de administración, disposición o gravamen del buque será suficiente el acuerdo de los condueños que representen la mayoría de las cuotas de la copropiedad. Un solo condue</w:t>
      </w:r>
      <w:r>
        <w:t>ño puede ostentar dicha mayoría.</w:t>
      </w:r>
    </w:p>
    <w:p w14:paraId="72D81BA6" w14:textId="4B98D1F8" w:rsidR="004173D4" w:rsidRPr="00B7713E" w:rsidRDefault="005446D9" w:rsidP="009E0AA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t>Además, se establece un</w:t>
      </w:r>
      <w:r w:rsidR="004173D4">
        <w:t xml:space="preserve"> derecho de tanteo y retracto en caso de venta de una cuota a un extraño a la comunidad</w:t>
      </w:r>
      <w:r>
        <w:t>.</w:t>
      </w:r>
    </w:p>
    <w:p w14:paraId="51D5FDDA" w14:textId="06FF6F3A" w:rsidR="008A396E" w:rsidRDefault="00B82851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otra parte, los modos de adquisición del buque son los siguientes:</w:t>
      </w:r>
    </w:p>
    <w:p w14:paraId="105AB2FB" w14:textId="415371F4" w:rsidR="00B82851" w:rsidRPr="00392A80" w:rsidRDefault="00B82851" w:rsidP="00E80B5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2A80">
        <w:rPr>
          <w:bCs/>
          <w:spacing w:val="-3"/>
        </w:rPr>
        <w:t>Modos originarios, que son:</w:t>
      </w:r>
    </w:p>
    <w:p w14:paraId="13501BC6" w14:textId="3618E155" w:rsidR="00A5558C" w:rsidRDefault="00B82851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La construcción del buque, regulando los artículos 108 a 116 de la Ley el contrato de construcción</w:t>
      </w:r>
      <w:r w:rsidR="00A603BF" w:rsidRPr="00392A80">
        <w:rPr>
          <w:bCs/>
          <w:spacing w:val="-3"/>
        </w:rPr>
        <w:t xml:space="preserve">, </w:t>
      </w:r>
      <w:r w:rsidR="00A5558C">
        <w:rPr>
          <w:bCs/>
          <w:spacing w:val="-3"/>
        </w:rPr>
        <w:t>cuyas reglas esenciales son las siguientes:</w:t>
      </w:r>
    </w:p>
    <w:p w14:paraId="17C1E6F1" w14:textId="61C1112B" w:rsidR="004536A9" w:rsidRDefault="004536A9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4536A9">
        <w:rPr>
          <w:bCs/>
          <w:spacing w:val="-3"/>
        </w:rPr>
        <w:t>Los materiales podrán ser aportados, en todo o en parte, por cualquiera de los contratantes</w:t>
      </w:r>
      <w:r>
        <w:rPr>
          <w:bCs/>
          <w:spacing w:val="-3"/>
        </w:rPr>
        <w:t>.</w:t>
      </w:r>
    </w:p>
    <w:p w14:paraId="39477708" w14:textId="34FE3848" w:rsidR="00B82851" w:rsidRDefault="00A5558C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B82851" w:rsidRPr="00392A80">
        <w:rPr>
          <w:bCs/>
          <w:spacing w:val="-3"/>
        </w:rPr>
        <w:t>a propiedad del buque en construcción corresponde al constructor hasta el momento de su entrega al comitente, salvo que las partes acuerden diferirla a un momento posterior.</w:t>
      </w:r>
    </w:p>
    <w:p w14:paraId="5E645083" w14:textId="6D8E8420" w:rsidR="00A5558C" w:rsidRPr="00B70D45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El constructor asume los riesgos hasta la entrega, salvo cuando se debiesen a la mala calidad de los materiales </w:t>
      </w:r>
      <w:r w:rsidR="004536A9">
        <w:t xml:space="preserve">aportados por </w:t>
      </w:r>
      <w:r w:rsidR="005362FD">
        <w:t xml:space="preserve">el comitente </w:t>
      </w:r>
      <w:r>
        <w:t xml:space="preserve">o en los supuestos de </w:t>
      </w:r>
      <w:r>
        <w:rPr>
          <w:i/>
        </w:rPr>
        <w:t>mora accipiendi.</w:t>
      </w:r>
    </w:p>
    <w:p w14:paraId="4971988B" w14:textId="2F834C4F" w:rsidR="00A5558C" w:rsidRPr="00650B1A" w:rsidRDefault="005362FD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En caso de </w:t>
      </w:r>
      <w:r w:rsidR="00A5558C">
        <w:t xml:space="preserve">retraso culpable </w:t>
      </w:r>
      <w:r>
        <w:t>del constructor</w:t>
      </w:r>
      <w:r w:rsidR="00CE538C">
        <w:t>, el comitente podrá</w:t>
      </w:r>
      <w:r w:rsidR="00A5558C">
        <w:t xml:space="preserve"> reclamar daños si </w:t>
      </w:r>
      <w:r w:rsidR="00CE538C">
        <w:t xml:space="preserve">la mora </w:t>
      </w:r>
      <w:r w:rsidR="00A5558C">
        <w:t xml:space="preserve">excede de </w:t>
      </w:r>
      <w:r w:rsidR="00CE538C">
        <w:t>treinta</w:t>
      </w:r>
      <w:r w:rsidR="00A5558C">
        <w:t xml:space="preserve"> días</w:t>
      </w:r>
      <w:r w:rsidR="00CE538C">
        <w:t xml:space="preserve">, </w:t>
      </w:r>
      <w:r w:rsidR="00A5558C">
        <w:t xml:space="preserve">y </w:t>
      </w:r>
      <w:r w:rsidR="00CE538C">
        <w:t xml:space="preserve">la resolución por incumplimiento </w:t>
      </w:r>
      <w:r w:rsidR="00A5558C">
        <w:t xml:space="preserve">si </w:t>
      </w:r>
      <w:r w:rsidR="00CE538C">
        <w:t xml:space="preserve">la mora excede </w:t>
      </w:r>
      <w:r w:rsidR="000B3F11">
        <w:t>de</w:t>
      </w:r>
      <w:r w:rsidR="00CE538C">
        <w:t xml:space="preserve"> ciento ochenta </w:t>
      </w:r>
      <w:r w:rsidR="00A5558C">
        <w:t>días</w:t>
      </w:r>
      <w:r w:rsidR="00CE538C">
        <w:t>.</w:t>
      </w:r>
    </w:p>
    <w:p w14:paraId="25F5D601" w14:textId="7BEC208F" w:rsidR="00A5558C" w:rsidRPr="00650B1A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>El comitente tiene obligación de pagar el precio en el momento de la entrega o</w:t>
      </w:r>
      <w:r w:rsidR="000B3F11">
        <w:t>,</w:t>
      </w:r>
      <w:r>
        <w:t xml:space="preserve"> lo que es habitual, </w:t>
      </w:r>
      <w:r w:rsidR="000B3F11">
        <w:t>a</w:t>
      </w:r>
      <w:r>
        <w:t xml:space="preserve"> la ejecución de cada hito constructivo. Y, en garantía del precio, </w:t>
      </w:r>
      <w:r w:rsidR="00E80B5F">
        <w:t>el constructor tiene</w:t>
      </w:r>
      <w:r>
        <w:t xml:space="preserve"> derecho de retención.</w:t>
      </w:r>
    </w:p>
    <w:p w14:paraId="631F9F1B" w14:textId="0C17C092" w:rsidR="00A5558C" w:rsidRPr="00650B1A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El constructor es responsable por los defectos no manifiestos denunciados por el comitente en el plazo de </w:t>
      </w:r>
      <w:r w:rsidR="00E80B5F">
        <w:t>un</w:t>
      </w:r>
      <w:r>
        <w:t xml:space="preserve"> año desde la entrega.</w:t>
      </w:r>
    </w:p>
    <w:p w14:paraId="07DA57BB" w14:textId="1DFD0789" w:rsidR="00A5558C" w:rsidRPr="007C69A5" w:rsidRDefault="00A5558C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t xml:space="preserve">El plazo de prescripción </w:t>
      </w:r>
      <w:r w:rsidR="00E80B5F">
        <w:t>de</w:t>
      </w:r>
      <w:r>
        <w:t xml:space="preserve"> las acciones por incumplimiento es de </w:t>
      </w:r>
      <w:r w:rsidR="00E80B5F">
        <w:t>tres</w:t>
      </w:r>
      <w:r>
        <w:t xml:space="preserve"> años.</w:t>
      </w:r>
    </w:p>
    <w:p w14:paraId="0F628621" w14:textId="204EC7E7" w:rsidR="000957B0" w:rsidRPr="00392A80" w:rsidRDefault="000957B0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El hallazgo, regulado por la Ley de 24 de diciembre de 1962.</w:t>
      </w:r>
    </w:p>
    <w:p w14:paraId="09579DF9" w14:textId="1BA740F7" w:rsidR="00C76616" w:rsidRPr="00392A80" w:rsidRDefault="00C76616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lastRenderedPageBreak/>
        <w:t>La usucapión por la posesión continuada, de buena fe y con justo título debidamente registrado, por plazo de tres años, y sin alguno de estos requisitos, por plazo de diez años.</w:t>
      </w:r>
    </w:p>
    <w:p w14:paraId="1435E78B" w14:textId="77777777" w:rsidR="002E3AD4" w:rsidRPr="00392A80" w:rsidRDefault="00B3345C" w:rsidP="00E80B5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2A80">
        <w:rPr>
          <w:bCs/>
          <w:spacing w:val="-3"/>
        </w:rPr>
        <w:t xml:space="preserve">Modos derivativos, </w:t>
      </w:r>
      <w:r w:rsidR="002E3AD4" w:rsidRPr="00392A80">
        <w:rPr>
          <w:bCs/>
          <w:spacing w:val="-3"/>
        </w:rPr>
        <w:t>que son los siguientes:</w:t>
      </w:r>
    </w:p>
    <w:p w14:paraId="2E6BFFA6" w14:textId="77777777" w:rsidR="00A567E4" w:rsidRDefault="002E3AD4" w:rsidP="00E80B5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 xml:space="preserve">La adquisición del buque por alguno de los modos de adquirir la propiedad del artículo 609 del Código Civil de 24 de julio de 1889, </w:t>
      </w:r>
      <w:r w:rsidR="00B3345C" w:rsidRPr="00392A80">
        <w:rPr>
          <w:bCs/>
          <w:spacing w:val="-3"/>
        </w:rPr>
        <w:t xml:space="preserve">disponiendo el artículo 63 de la Ley de Navegación Marítima que </w:t>
      </w:r>
      <w:r w:rsidRPr="00392A80">
        <w:rPr>
          <w:bCs/>
          <w:spacing w:val="-3"/>
        </w:rPr>
        <w:t>tal</w:t>
      </w:r>
      <w:r w:rsidR="00B3345C" w:rsidRPr="00392A80">
        <w:rPr>
          <w:bCs/>
          <w:spacing w:val="-3"/>
        </w:rPr>
        <w:t xml:space="preserve"> adquisición </w:t>
      </w:r>
      <w:r w:rsidR="008A396E" w:rsidRPr="00392A80">
        <w:rPr>
          <w:bCs/>
          <w:spacing w:val="-3"/>
        </w:rPr>
        <w:t>deberá constar en documento escrito y para que produzca efectos respecto de terceros deberá inscribirse el Registro de Bienes Muebles</w:t>
      </w:r>
      <w:r w:rsidR="00A567E4">
        <w:rPr>
          <w:bCs/>
          <w:spacing w:val="-3"/>
        </w:rPr>
        <w:t>.</w:t>
      </w:r>
    </w:p>
    <w:p w14:paraId="22321F62" w14:textId="7806BFAD" w:rsidR="001161A5" w:rsidRDefault="00673071" w:rsidP="0067307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15689B" w:rsidRPr="00392A80">
        <w:rPr>
          <w:bCs/>
          <w:spacing w:val="-3"/>
        </w:rPr>
        <w:t xml:space="preserve">os artículos 117 a 121 de la Ley de Navegación Marítima la </w:t>
      </w:r>
      <w:r w:rsidR="008A396E" w:rsidRPr="00392A80">
        <w:rPr>
          <w:bCs/>
          <w:spacing w:val="-3"/>
        </w:rPr>
        <w:t>compraventa del buque</w:t>
      </w:r>
      <w:r w:rsidR="005A149D" w:rsidRPr="00392A80">
        <w:rPr>
          <w:bCs/>
          <w:spacing w:val="-3"/>
        </w:rPr>
        <w:t xml:space="preserve">, </w:t>
      </w:r>
      <w:r w:rsidR="001161A5">
        <w:rPr>
          <w:bCs/>
          <w:spacing w:val="-3"/>
        </w:rPr>
        <w:t>cuyas reglas esenciales son las siguientes:</w:t>
      </w:r>
    </w:p>
    <w:p w14:paraId="247C4BAC" w14:textId="35B29816" w:rsidR="008A396E" w:rsidRDefault="00CC5BF9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 w:rsidRPr="00CC5BF9">
        <w:t>El comprador adquiere la propiedad del buque mediante su entrega</w:t>
      </w:r>
      <w:r w:rsidR="002E3AD4" w:rsidRPr="00392A80">
        <w:rPr>
          <w:bCs/>
          <w:spacing w:val="-3"/>
        </w:rPr>
        <w:t>.</w:t>
      </w:r>
    </w:p>
    <w:p w14:paraId="0708515F" w14:textId="449BF2F3" w:rsidR="001161A5" w:rsidRDefault="00A77A71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>
        <w:t>El vendedor asume los riesgos hasta la entrega</w:t>
      </w:r>
      <w:r w:rsidR="00AC4C90" w:rsidRPr="00AC4C90">
        <w:rPr>
          <w:bCs/>
          <w:spacing w:val="-3"/>
        </w:rPr>
        <w:t>, salvo pacto en contrario</w:t>
      </w:r>
      <w:r w:rsidR="00AC4C90">
        <w:rPr>
          <w:bCs/>
          <w:spacing w:val="-3"/>
        </w:rPr>
        <w:t>.</w:t>
      </w:r>
    </w:p>
    <w:p w14:paraId="75540EF1" w14:textId="052CB3A6" w:rsidR="00AC4C90" w:rsidRDefault="00AC4C90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 w:rsidRPr="00AC4C90">
        <w:rPr>
          <w:bCs/>
          <w:spacing w:val="-3"/>
        </w:rPr>
        <w:t xml:space="preserve">El vendedor responderá del saneamiento por evicción y vicios ocultos, siempre que éstos se descubran </w:t>
      </w:r>
      <w:r w:rsidR="00A77A71">
        <w:rPr>
          <w:bCs/>
          <w:spacing w:val="-3"/>
        </w:rPr>
        <w:t>dentro de los</w:t>
      </w:r>
      <w:r w:rsidRPr="00AC4C90">
        <w:rPr>
          <w:bCs/>
          <w:spacing w:val="-3"/>
        </w:rPr>
        <w:t xml:space="preserve"> tres meses </w:t>
      </w:r>
      <w:r w:rsidR="00A77A71">
        <w:rPr>
          <w:bCs/>
          <w:spacing w:val="-3"/>
        </w:rPr>
        <w:t xml:space="preserve">siguientes a </w:t>
      </w:r>
      <w:r w:rsidRPr="00AC4C90">
        <w:rPr>
          <w:bCs/>
          <w:spacing w:val="-3"/>
        </w:rPr>
        <w:t>la entrega y el comprador los notifique al vendedor en el plazo de cinco días desde su descubrimiento</w:t>
      </w:r>
      <w:r w:rsidR="005F5C9B">
        <w:rPr>
          <w:bCs/>
          <w:spacing w:val="-3"/>
        </w:rPr>
        <w:t>.</w:t>
      </w:r>
    </w:p>
    <w:p w14:paraId="72032A5D" w14:textId="368EEE14" w:rsidR="002949B0" w:rsidRPr="002949B0" w:rsidRDefault="002949B0" w:rsidP="00673071">
      <w:pPr>
        <w:pStyle w:val="Prrafodelista"/>
        <w:numPr>
          <w:ilvl w:val="0"/>
          <w:numId w:val="10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7C69A5">
        <w:rPr>
          <w:bCs/>
          <w:spacing w:val="-3"/>
        </w:rPr>
        <w:t xml:space="preserve">La acción de saneamiento por vicios ocultos caduca </w:t>
      </w:r>
      <w:r>
        <w:rPr>
          <w:bCs/>
          <w:spacing w:val="-3"/>
        </w:rPr>
        <w:t>a los</w:t>
      </w:r>
      <w:r w:rsidRPr="007C69A5">
        <w:rPr>
          <w:bCs/>
          <w:spacing w:val="-3"/>
        </w:rPr>
        <w:t xml:space="preserve"> seis meses</w:t>
      </w:r>
      <w:r>
        <w:rPr>
          <w:bCs/>
          <w:spacing w:val="-3"/>
        </w:rPr>
        <w:t>.</w:t>
      </w:r>
    </w:p>
    <w:p w14:paraId="116FC97C" w14:textId="0C471478" w:rsidR="008A396E" w:rsidRPr="00392A80" w:rsidRDefault="00E25D48" w:rsidP="00E80B5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E</w:t>
      </w:r>
      <w:r w:rsidR="008A396E" w:rsidRPr="00392A80">
        <w:rPr>
          <w:bCs/>
          <w:spacing w:val="-3"/>
        </w:rPr>
        <w:t>l abandono del asegurador</w:t>
      </w:r>
      <w:r w:rsidRPr="00392A80">
        <w:rPr>
          <w:bCs/>
          <w:spacing w:val="-3"/>
        </w:rPr>
        <w:t xml:space="preserve">, que es </w:t>
      </w:r>
      <w:r w:rsidR="008A396E" w:rsidRPr="00392A80">
        <w:rPr>
          <w:bCs/>
          <w:spacing w:val="-3"/>
        </w:rPr>
        <w:t xml:space="preserve">un procedimiento especial de liquidación del daño en </w:t>
      </w:r>
      <w:r w:rsidRPr="00392A80">
        <w:rPr>
          <w:bCs/>
          <w:spacing w:val="-3"/>
        </w:rPr>
        <w:t>el que</w:t>
      </w:r>
      <w:r w:rsidR="008A396E" w:rsidRPr="00392A80">
        <w:rPr>
          <w:bCs/>
          <w:spacing w:val="-3"/>
        </w:rPr>
        <w:t>, ante determinados siniestros excepcionales, el asegurado del buque puede hacer abandono al asegurador y éste adquiere la propiedad de</w:t>
      </w:r>
      <w:r w:rsidRPr="00392A80">
        <w:rPr>
          <w:bCs/>
          <w:spacing w:val="-3"/>
        </w:rPr>
        <w:t>l buque</w:t>
      </w:r>
      <w:r w:rsidR="008A396E" w:rsidRPr="00392A80">
        <w:rPr>
          <w:bCs/>
          <w:spacing w:val="-3"/>
        </w:rPr>
        <w:t xml:space="preserve"> abandonado.</w:t>
      </w:r>
    </w:p>
    <w:p w14:paraId="4A598AB9" w14:textId="57288364" w:rsidR="008A396E" w:rsidRPr="008A396E" w:rsidRDefault="00F24907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Junto a los anteriores modos, que son de derecho privado, existen los modos de derecho público, como l</w:t>
      </w:r>
      <w:r w:rsidR="008A396E" w:rsidRPr="008A396E">
        <w:rPr>
          <w:bCs/>
          <w:spacing w:val="-3"/>
        </w:rPr>
        <w:t>a presa naval en tiempo de guerra</w:t>
      </w:r>
      <w:r>
        <w:rPr>
          <w:bCs/>
          <w:spacing w:val="-3"/>
        </w:rPr>
        <w:t xml:space="preserve">, la </w:t>
      </w:r>
      <w:r w:rsidR="008A396E" w:rsidRPr="008A396E">
        <w:rPr>
          <w:bCs/>
          <w:spacing w:val="-3"/>
        </w:rPr>
        <w:t xml:space="preserve">confiscación, comiso o decomiso en </w:t>
      </w:r>
      <w:r w:rsidR="00392A80">
        <w:rPr>
          <w:bCs/>
          <w:spacing w:val="-3"/>
        </w:rPr>
        <w:t xml:space="preserve">casos de </w:t>
      </w:r>
      <w:r w:rsidR="008A396E" w:rsidRPr="008A396E">
        <w:rPr>
          <w:bCs/>
          <w:spacing w:val="-3"/>
        </w:rPr>
        <w:t>especiales de contravención aduanera</w:t>
      </w:r>
      <w:r w:rsidR="00392A80">
        <w:rPr>
          <w:bCs/>
          <w:spacing w:val="-3"/>
        </w:rPr>
        <w:t xml:space="preserve">, la </w:t>
      </w:r>
      <w:r w:rsidR="008A396E" w:rsidRPr="008A396E">
        <w:rPr>
          <w:bCs/>
          <w:spacing w:val="-3"/>
        </w:rPr>
        <w:t>requisa como modalidad de expropiación forzosa</w:t>
      </w:r>
      <w:r w:rsidR="00392A80">
        <w:rPr>
          <w:bCs/>
          <w:spacing w:val="-3"/>
        </w:rPr>
        <w:t xml:space="preserve"> o l</w:t>
      </w:r>
      <w:r w:rsidR="008A396E" w:rsidRPr="008A396E">
        <w:rPr>
          <w:bCs/>
          <w:spacing w:val="-3"/>
        </w:rPr>
        <w:t>a ejecución forzosa</w:t>
      </w:r>
      <w:r w:rsidR="00392A80">
        <w:rPr>
          <w:bCs/>
          <w:spacing w:val="-3"/>
        </w:rPr>
        <w:t xml:space="preserve"> por deudas del</w:t>
      </w:r>
      <w:r w:rsidR="008A396E" w:rsidRPr="008A396E">
        <w:rPr>
          <w:bCs/>
          <w:spacing w:val="-3"/>
        </w:rPr>
        <w:t xml:space="preserve"> naviero </w:t>
      </w:r>
      <w:r w:rsidR="00392A80">
        <w:rPr>
          <w:bCs/>
          <w:spacing w:val="-3"/>
        </w:rPr>
        <w:t>con e</w:t>
      </w:r>
      <w:r w:rsidR="008A396E" w:rsidRPr="008A396E">
        <w:rPr>
          <w:bCs/>
          <w:spacing w:val="-3"/>
        </w:rPr>
        <w:t>l Estado.</w:t>
      </w:r>
    </w:p>
    <w:p w14:paraId="682BC2AE" w14:textId="77777777" w:rsidR="008A396E" w:rsidRPr="008A396E" w:rsidRDefault="008A396E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1D8877E" w14:textId="3E38AF00" w:rsidR="008A396E" w:rsidRPr="00392A80" w:rsidRDefault="008A396E" w:rsidP="00392A80">
      <w:pPr>
        <w:spacing w:before="120" w:after="120" w:line="360" w:lineRule="auto"/>
        <w:jc w:val="both"/>
        <w:rPr>
          <w:b/>
          <w:spacing w:val="-3"/>
        </w:rPr>
      </w:pPr>
      <w:r w:rsidRPr="00392A80">
        <w:rPr>
          <w:b/>
          <w:spacing w:val="-3"/>
        </w:rPr>
        <w:t>LOS SUJETOS DE LA NAVEGACIÓN.</w:t>
      </w:r>
    </w:p>
    <w:p w14:paraId="75DE0C71" w14:textId="2DA9FE3F" w:rsidR="004068C8" w:rsidRPr="004068C8" w:rsidRDefault="004068C8" w:rsidP="004068C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4068C8">
        <w:rPr>
          <w:bCs/>
          <w:spacing w:val="-3"/>
        </w:rPr>
        <w:t xml:space="preserve">os sujetos de navegación </w:t>
      </w:r>
      <w:r>
        <w:rPr>
          <w:bCs/>
          <w:spacing w:val="-3"/>
        </w:rPr>
        <w:t xml:space="preserve">están regulados por el </w:t>
      </w:r>
      <w:r w:rsidRPr="004068C8">
        <w:rPr>
          <w:bCs/>
          <w:spacing w:val="-3"/>
        </w:rPr>
        <w:t xml:space="preserve">Título III de la Ley de Navegación Marítima, </w:t>
      </w:r>
      <w:r>
        <w:rPr>
          <w:bCs/>
          <w:spacing w:val="-3"/>
        </w:rPr>
        <w:t xml:space="preserve">y </w:t>
      </w:r>
      <w:r w:rsidRPr="004068C8">
        <w:rPr>
          <w:bCs/>
          <w:spacing w:val="-3"/>
        </w:rPr>
        <w:t>son los siguientes:</w:t>
      </w:r>
    </w:p>
    <w:p w14:paraId="0E098428" w14:textId="0DF2D375" w:rsidR="00AC374A" w:rsidRDefault="004068C8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lastRenderedPageBreak/>
        <w:t>El armador, que es quien, siendo o no su propietario, tiene la posesión de un buque, directamente o a través de sus dependientes, y lo dedica a la navegación en su propio nombre y bajo su responsabilidad.</w:t>
      </w:r>
    </w:p>
    <w:p w14:paraId="62904688" w14:textId="04AFDC44" w:rsidR="004068C8" w:rsidRDefault="00466952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7E1E">
        <w:rPr>
          <w:bCs/>
          <w:spacing w:val="-3"/>
        </w:rPr>
        <w:t>En caso de condominio naval, recaerá la condición de armador en cada uno de los condóminos, sin perjuicio de su derecho a nombrar un administrador.</w:t>
      </w:r>
    </w:p>
    <w:p w14:paraId="4240D0F4" w14:textId="1D9BE939" w:rsidR="00AC374A" w:rsidRDefault="00AC374A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AC374A">
        <w:rPr>
          <w:bCs/>
          <w:spacing w:val="-3"/>
        </w:rPr>
        <w:t>l armador que dedique el buque a la navegación con fines empresariales debe inscribirse en el Registro Mercantil</w:t>
      </w:r>
      <w:r w:rsidR="005C06DA">
        <w:rPr>
          <w:bCs/>
          <w:spacing w:val="-3"/>
        </w:rPr>
        <w:t xml:space="preserve">, </w:t>
      </w:r>
      <w:r w:rsidR="00956B9E">
        <w:rPr>
          <w:bCs/>
          <w:spacing w:val="-3"/>
        </w:rPr>
        <w:t xml:space="preserve">inscripción que puede ser instada tanto por </w:t>
      </w:r>
      <w:r w:rsidR="005C06DA">
        <w:rPr>
          <w:bCs/>
          <w:spacing w:val="-3"/>
        </w:rPr>
        <w:t>el</w:t>
      </w:r>
      <w:r w:rsidRPr="00AC374A">
        <w:rPr>
          <w:bCs/>
          <w:spacing w:val="-3"/>
        </w:rPr>
        <w:t xml:space="preserve"> armador</w:t>
      </w:r>
      <w:r w:rsidR="00956B9E">
        <w:rPr>
          <w:bCs/>
          <w:spacing w:val="-3"/>
        </w:rPr>
        <w:t>, sea o</w:t>
      </w:r>
      <w:r w:rsidRPr="00AC374A">
        <w:rPr>
          <w:bCs/>
          <w:spacing w:val="-3"/>
        </w:rPr>
        <w:t xml:space="preserve"> no propietario</w:t>
      </w:r>
      <w:r w:rsidR="00956B9E">
        <w:rPr>
          <w:bCs/>
          <w:spacing w:val="-3"/>
        </w:rPr>
        <w:t xml:space="preserve">, como por el </w:t>
      </w:r>
      <w:r w:rsidR="005C06DA">
        <w:rPr>
          <w:bCs/>
          <w:spacing w:val="-3"/>
        </w:rPr>
        <w:t>propietario del buque</w:t>
      </w:r>
      <w:r w:rsidRPr="00AC374A">
        <w:rPr>
          <w:bCs/>
          <w:spacing w:val="-3"/>
        </w:rPr>
        <w:t>. A falta de inscripción en otro sentido y salvo prueba en contrario que nunca perjudicará a tercero de buena fe, se considerará armador al propietario que figure inscrito en el Registro de Bienes Muebles.</w:t>
      </w:r>
    </w:p>
    <w:p w14:paraId="014EDF97" w14:textId="366E1F3A" w:rsidR="00442E45" w:rsidRPr="00197E1E" w:rsidRDefault="00442E45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42E45">
        <w:rPr>
          <w:bCs/>
          <w:spacing w:val="-3"/>
        </w:rPr>
        <w:t>El armador es responsable ante terceros de los actos y omisiones del capitán y dotación del buque, así como de las obligaciones contraídas por el capitán que se refieran a las necesidades ordinarias del buque, sin perjuicio de su derecho a limitar su responsabilidad en los supuestos establecidos en el Título VII</w:t>
      </w:r>
      <w:r w:rsidR="00373110">
        <w:rPr>
          <w:bCs/>
          <w:spacing w:val="-3"/>
        </w:rPr>
        <w:t xml:space="preserve"> de la Ley de Navegación Marítima</w:t>
      </w:r>
      <w:r w:rsidR="0008406E">
        <w:rPr>
          <w:bCs/>
          <w:spacing w:val="-3"/>
        </w:rPr>
        <w:t>, que se estudian en el tema siguiente del programa.</w:t>
      </w:r>
    </w:p>
    <w:p w14:paraId="53EEB66F" w14:textId="79AC10FE" w:rsidR="004068C8" w:rsidRPr="00197E1E" w:rsidRDefault="00FF2618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t>El n</w:t>
      </w:r>
      <w:r w:rsidR="004068C8" w:rsidRPr="00197E1E">
        <w:rPr>
          <w:bCs/>
          <w:spacing w:val="-3"/>
        </w:rPr>
        <w:t>aviero, que es la persona física o jurídica que, utilizando buques mercantes propios o ajenos, se dedique a la explotación de los mismos, bajo cualquier modalidad admitida por los usos internacion</w:t>
      </w:r>
      <w:r w:rsidR="00253F0F" w:rsidRPr="00197E1E">
        <w:rPr>
          <w:bCs/>
          <w:spacing w:val="-3"/>
        </w:rPr>
        <w:t>al</w:t>
      </w:r>
      <w:r w:rsidR="004068C8" w:rsidRPr="00197E1E">
        <w:rPr>
          <w:bCs/>
          <w:spacing w:val="-3"/>
        </w:rPr>
        <w:t>es.</w:t>
      </w:r>
    </w:p>
    <w:p w14:paraId="4094BF18" w14:textId="79C67A8D" w:rsidR="004068C8" w:rsidRPr="00197E1E" w:rsidRDefault="004F02BD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t>La dotación</w:t>
      </w:r>
      <w:r w:rsidR="00AA0F62" w:rsidRPr="00197E1E">
        <w:rPr>
          <w:bCs/>
          <w:spacing w:val="-3"/>
        </w:rPr>
        <w:t xml:space="preserve">, que comprende </w:t>
      </w:r>
      <w:r w:rsidRPr="00197E1E">
        <w:rPr>
          <w:bCs/>
          <w:spacing w:val="-3"/>
        </w:rPr>
        <w:t>el conjunto de personas empleadas a bordo de un buque en cualquiera de sus departamentos o servicios, ya sea contratada directamente por el armador o por terceros</w:t>
      </w:r>
      <w:r w:rsidR="00AA0F62" w:rsidRPr="00197E1E">
        <w:rPr>
          <w:bCs/>
          <w:spacing w:val="-3"/>
        </w:rPr>
        <w:t xml:space="preserve">, sin incluir a las </w:t>
      </w:r>
      <w:r w:rsidRPr="00197E1E">
        <w:rPr>
          <w:bCs/>
          <w:spacing w:val="-3"/>
        </w:rPr>
        <w:t>personas cuyo trabajo no forma parte de la actividad cotidiana del buque y cuyo lugar de trabajo principal no se encuentra en el mismo</w:t>
      </w:r>
      <w:r w:rsidR="004068C8" w:rsidRPr="00197E1E">
        <w:rPr>
          <w:bCs/>
          <w:spacing w:val="-3"/>
        </w:rPr>
        <w:t>.</w:t>
      </w:r>
    </w:p>
    <w:p w14:paraId="27612324" w14:textId="6EE135C4" w:rsidR="00C61014" w:rsidRPr="00B319C2" w:rsidRDefault="00AA0F62" w:rsidP="00B319C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319C2">
        <w:rPr>
          <w:bCs/>
          <w:spacing w:val="-3"/>
        </w:rPr>
        <w:t>El capitán</w:t>
      </w:r>
      <w:r w:rsidR="00B53055" w:rsidRPr="00B319C2">
        <w:rPr>
          <w:bCs/>
          <w:spacing w:val="-3"/>
        </w:rPr>
        <w:t>,</w:t>
      </w:r>
      <w:r w:rsidR="004068C8" w:rsidRPr="00B319C2">
        <w:rPr>
          <w:bCs/>
          <w:spacing w:val="-3"/>
        </w:rPr>
        <w:t xml:space="preserve"> </w:t>
      </w:r>
      <w:r w:rsidR="00FC0069" w:rsidRPr="00B319C2">
        <w:rPr>
          <w:bCs/>
          <w:spacing w:val="-3"/>
        </w:rPr>
        <w:t>cuyo nombramiento y cese corresponde al armador</w:t>
      </w:r>
      <w:r w:rsidR="00132DD8" w:rsidRPr="00B319C2">
        <w:rPr>
          <w:bCs/>
          <w:spacing w:val="-3"/>
        </w:rPr>
        <w:t>, y es la persona</w:t>
      </w:r>
      <w:r w:rsidR="00FC0069" w:rsidRPr="00B319C2">
        <w:rPr>
          <w:bCs/>
          <w:spacing w:val="-3"/>
        </w:rPr>
        <w:t xml:space="preserve"> </w:t>
      </w:r>
      <w:r w:rsidR="004068C8" w:rsidRPr="00B319C2">
        <w:rPr>
          <w:bCs/>
          <w:spacing w:val="-3"/>
        </w:rPr>
        <w:t>que ejerce el mando del buque</w:t>
      </w:r>
      <w:r w:rsidR="00C15404" w:rsidRPr="00B319C2">
        <w:rPr>
          <w:bCs/>
          <w:spacing w:val="-3"/>
        </w:rPr>
        <w:t xml:space="preserve"> y</w:t>
      </w:r>
      <w:r w:rsidR="004068C8" w:rsidRPr="00B319C2">
        <w:rPr>
          <w:bCs/>
          <w:spacing w:val="-3"/>
        </w:rPr>
        <w:t xml:space="preserve"> la jefatura de su dotación</w:t>
      </w:r>
      <w:r w:rsidR="00C15404" w:rsidRPr="00B319C2">
        <w:rPr>
          <w:bCs/>
          <w:spacing w:val="-3"/>
        </w:rPr>
        <w:t>, y tie</w:t>
      </w:r>
      <w:r w:rsidR="00B70957" w:rsidRPr="00B319C2">
        <w:rPr>
          <w:bCs/>
          <w:spacing w:val="-3"/>
        </w:rPr>
        <w:t>ne</w:t>
      </w:r>
      <w:r w:rsidR="00C15404" w:rsidRPr="00B319C2">
        <w:rPr>
          <w:bCs/>
          <w:spacing w:val="-3"/>
        </w:rPr>
        <w:t xml:space="preserve"> a bordo la condición de</w:t>
      </w:r>
      <w:r w:rsidR="004068C8" w:rsidRPr="00B319C2">
        <w:rPr>
          <w:bCs/>
          <w:spacing w:val="-3"/>
        </w:rPr>
        <w:t xml:space="preserve"> autoridad pública, </w:t>
      </w:r>
      <w:r w:rsidR="00B70957" w:rsidRPr="00B319C2">
        <w:rPr>
          <w:bCs/>
          <w:spacing w:val="-3"/>
        </w:rPr>
        <w:t xml:space="preserve">adoptando cuantas medidas de policía estime </w:t>
      </w:r>
      <w:r w:rsidR="00473851" w:rsidRPr="00B319C2">
        <w:rPr>
          <w:bCs/>
          <w:spacing w:val="-3"/>
        </w:rPr>
        <w:t>para mantener el orden en el buque y garantizar la seguridad de cuantos se encuentren a bordo</w:t>
      </w:r>
      <w:r w:rsidR="00B319C2" w:rsidRPr="00B319C2">
        <w:rPr>
          <w:bCs/>
          <w:spacing w:val="-3"/>
        </w:rPr>
        <w:t xml:space="preserve">, debiendo </w:t>
      </w:r>
      <w:r w:rsidR="00B319C2">
        <w:rPr>
          <w:bCs/>
          <w:spacing w:val="-3"/>
        </w:rPr>
        <w:t>l</w:t>
      </w:r>
      <w:r w:rsidR="00442E45" w:rsidRPr="00B319C2">
        <w:rPr>
          <w:bCs/>
          <w:spacing w:val="-3"/>
        </w:rPr>
        <w:t>os miembros de la dotación y demás personas embarcadas acatar las órdenes del capitán</w:t>
      </w:r>
    </w:p>
    <w:p w14:paraId="2573E585" w14:textId="28A3E3F6" w:rsidR="004068C8" w:rsidRPr="00197E1E" w:rsidRDefault="00132DD8" w:rsidP="00C610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7E1E">
        <w:rPr>
          <w:bCs/>
          <w:spacing w:val="-3"/>
        </w:rPr>
        <w:t xml:space="preserve">Además, </w:t>
      </w:r>
      <w:r w:rsidR="00B319C2">
        <w:rPr>
          <w:bCs/>
          <w:spacing w:val="-3"/>
        </w:rPr>
        <w:t xml:space="preserve">el capitán </w:t>
      </w:r>
      <w:r w:rsidR="00064BA9" w:rsidRPr="00197E1E">
        <w:rPr>
          <w:bCs/>
          <w:spacing w:val="-3"/>
        </w:rPr>
        <w:t>eje</w:t>
      </w:r>
      <w:r w:rsidR="008306F3" w:rsidRPr="00197E1E">
        <w:rPr>
          <w:bCs/>
          <w:spacing w:val="-3"/>
        </w:rPr>
        <w:t>r</w:t>
      </w:r>
      <w:r w:rsidR="00064BA9" w:rsidRPr="00197E1E">
        <w:rPr>
          <w:bCs/>
          <w:spacing w:val="-3"/>
        </w:rPr>
        <w:t xml:space="preserve">ce a bordo las funciones de encargado del Registro Civil y </w:t>
      </w:r>
      <w:r w:rsidR="008306F3" w:rsidRPr="00197E1E">
        <w:rPr>
          <w:bCs/>
          <w:spacing w:val="-3"/>
        </w:rPr>
        <w:t>autoriza el testamento marítimo y recibe el testamento cerrado conforme a las previsiones del Código Civil.</w:t>
      </w:r>
    </w:p>
    <w:p w14:paraId="1C5CB4EF" w14:textId="77777777" w:rsidR="00B319C2" w:rsidRPr="004068C8" w:rsidRDefault="00B319C2" w:rsidP="004068C8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C3EC54" w14:textId="1234177A" w:rsidR="008A396E" w:rsidRPr="00D0367E" w:rsidRDefault="008A396E" w:rsidP="00D0367E">
      <w:pPr>
        <w:spacing w:before="120" w:after="120" w:line="360" w:lineRule="auto"/>
        <w:jc w:val="both"/>
        <w:rPr>
          <w:b/>
          <w:spacing w:val="-3"/>
        </w:rPr>
      </w:pPr>
      <w:r w:rsidRPr="00D0367E">
        <w:rPr>
          <w:b/>
          <w:spacing w:val="-3"/>
        </w:rPr>
        <w:t>REFERENCIA A LOS CONTRATOS DE UTILIZACIÓN DEL BUQUE.</w:t>
      </w:r>
    </w:p>
    <w:p w14:paraId="3E4E520B" w14:textId="03B3332A" w:rsidR="008A396E" w:rsidRPr="008A396E" w:rsidRDefault="001F40CA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A396E" w:rsidRPr="008A396E">
        <w:rPr>
          <w:bCs/>
          <w:spacing w:val="-3"/>
        </w:rPr>
        <w:t xml:space="preserve">os contratos de utilización del buque </w:t>
      </w:r>
      <w:r>
        <w:rPr>
          <w:bCs/>
          <w:spacing w:val="-3"/>
        </w:rPr>
        <w:t xml:space="preserve">están regulados por el </w:t>
      </w:r>
      <w:r w:rsidR="008A396E" w:rsidRPr="008A396E">
        <w:rPr>
          <w:bCs/>
          <w:spacing w:val="-3"/>
        </w:rPr>
        <w:t xml:space="preserve">Título IV de la Ley de la Navegación Marítima, </w:t>
      </w:r>
      <w:r>
        <w:rPr>
          <w:bCs/>
          <w:spacing w:val="-3"/>
        </w:rPr>
        <w:t>y son los</w:t>
      </w:r>
      <w:r w:rsidR="008A396E" w:rsidRPr="008A396E">
        <w:rPr>
          <w:bCs/>
          <w:spacing w:val="-3"/>
        </w:rPr>
        <w:t xml:space="preserve"> siguientes:</w:t>
      </w:r>
    </w:p>
    <w:p w14:paraId="3F7EED01" w14:textId="58A84E4E" w:rsidR="008A396E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1F40CA" w:rsidRPr="0039477E">
        <w:rPr>
          <w:bCs/>
          <w:spacing w:val="-3"/>
        </w:rPr>
        <w:t>a</w:t>
      </w:r>
      <w:r w:rsidRPr="0039477E">
        <w:rPr>
          <w:bCs/>
          <w:spacing w:val="-3"/>
        </w:rPr>
        <w:t>rrendamiento de buque</w:t>
      </w:r>
      <w:r w:rsidR="001F40CA" w:rsidRPr="0039477E">
        <w:rPr>
          <w:bCs/>
          <w:spacing w:val="-3"/>
        </w:rPr>
        <w:t xml:space="preserve">, por el cual </w:t>
      </w:r>
      <w:r w:rsidRPr="0039477E">
        <w:rPr>
          <w:bCs/>
          <w:spacing w:val="-3"/>
        </w:rPr>
        <w:t>el arrendador se obliga, a cambio de un precio cierto, a entregar un buque determinado al arrendatario para que éste lo use temporalmente conforme a lo pactado o, en su defecto, según su naturaleza y características.</w:t>
      </w:r>
    </w:p>
    <w:p w14:paraId="12E44096" w14:textId="0B2C01E7" w:rsidR="00CA76D6" w:rsidRPr="0039477E" w:rsidRDefault="004C12C4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9C071C" w:rsidRPr="0039477E">
        <w:rPr>
          <w:bCs/>
          <w:spacing w:val="-3"/>
        </w:rPr>
        <w:t xml:space="preserve">transporte marítimo de mercancías o </w:t>
      </w:r>
      <w:r w:rsidRPr="0039477E">
        <w:rPr>
          <w:bCs/>
          <w:spacing w:val="-3"/>
        </w:rPr>
        <w:t>f</w:t>
      </w:r>
      <w:r w:rsidR="008A396E" w:rsidRPr="0039477E">
        <w:rPr>
          <w:bCs/>
          <w:spacing w:val="-3"/>
        </w:rPr>
        <w:t>letamento</w:t>
      </w:r>
      <w:r w:rsidRPr="0039477E">
        <w:rPr>
          <w:bCs/>
          <w:spacing w:val="-3"/>
        </w:rPr>
        <w:t xml:space="preserve">, </w:t>
      </w:r>
      <w:r w:rsidR="009C071C" w:rsidRPr="0039477E">
        <w:rPr>
          <w:bCs/>
          <w:spacing w:val="-3"/>
        </w:rPr>
        <w:t xml:space="preserve">por el que </w:t>
      </w:r>
      <w:r w:rsidR="008A396E" w:rsidRPr="0039477E">
        <w:rPr>
          <w:bCs/>
          <w:spacing w:val="-3"/>
        </w:rPr>
        <w:t>se obliga el porteador, a cambio del pago de un flete, a transportar por mar mercancías y entregarlas al destinatario en el puerto o lugar de destino.</w:t>
      </w:r>
      <w:r w:rsidR="00CA76D6" w:rsidRPr="0039477E">
        <w:rPr>
          <w:bCs/>
          <w:spacing w:val="-3"/>
        </w:rPr>
        <w:t xml:space="preserve"> El fletamento puede referirse:</w:t>
      </w:r>
    </w:p>
    <w:p w14:paraId="598E72E9" w14:textId="77777777" w:rsidR="00CA76D6" w:rsidRPr="0012052F" w:rsidRDefault="00CA76D6" w:rsidP="00E80B5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2052F">
        <w:rPr>
          <w:bCs/>
          <w:spacing w:val="-3"/>
        </w:rPr>
        <w:t>A toda o parte de la cabida del buque y ser concertado por tiempo o por viaje, reflejándose las condiciones contractuales en una póliza de fletamento.</w:t>
      </w:r>
    </w:p>
    <w:p w14:paraId="48DB4C3B" w14:textId="77777777" w:rsidR="00CA76D6" w:rsidRPr="0012052F" w:rsidRDefault="00CA76D6" w:rsidP="00E80B5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2052F">
        <w:rPr>
          <w:bCs/>
          <w:spacing w:val="-3"/>
        </w:rPr>
        <w:t>A mercancías determinadas por su peso, medida o clase, en cuyo caso las condiciones contractuales figuran en el conocimiento de embarque.</w:t>
      </w:r>
    </w:p>
    <w:p w14:paraId="6439B542" w14:textId="028A915C" w:rsidR="008A396E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A77847" w:rsidRPr="0039477E">
        <w:rPr>
          <w:bCs/>
          <w:spacing w:val="-3"/>
        </w:rPr>
        <w:t>transporte marítimo de personas</w:t>
      </w:r>
      <w:r w:rsidRPr="0039477E">
        <w:rPr>
          <w:bCs/>
          <w:spacing w:val="-3"/>
        </w:rPr>
        <w:t xml:space="preserve"> pasaje</w:t>
      </w:r>
      <w:r w:rsidR="00A77847" w:rsidRPr="0039477E">
        <w:rPr>
          <w:bCs/>
          <w:spacing w:val="-3"/>
        </w:rPr>
        <w:t xml:space="preserve">, por el que </w:t>
      </w:r>
      <w:r w:rsidRPr="0039477E">
        <w:rPr>
          <w:bCs/>
          <w:spacing w:val="-3"/>
        </w:rPr>
        <w:t>el porteador se obliga, a cambio del pago de un precio, a transportar por mar a una persona y, en su caso, su equipaje.</w:t>
      </w:r>
    </w:p>
    <w:p w14:paraId="6186B1A0" w14:textId="7F7A212E" w:rsidR="008A396E" w:rsidRPr="0039477E" w:rsidRDefault="00A43199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8A396E" w:rsidRPr="0039477E">
        <w:rPr>
          <w:bCs/>
          <w:spacing w:val="-3"/>
        </w:rPr>
        <w:t>remolque</w:t>
      </w:r>
      <w:r w:rsidRPr="0039477E">
        <w:rPr>
          <w:bCs/>
          <w:spacing w:val="-3"/>
        </w:rPr>
        <w:t xml:space="preserve">, por el que </w:t>
      </w:r>
      <w:r w:rsidR="008A396E" w:rsidRPr="0039477E">
        <w:rPr>
          <w:bCs/>
          <w:spacing w:val="-3"/>
        </w:rPr>
        <w:t>el armador se obliga, a cambio de un precio, a realizar con él la maniobra necesaria para el desplazamiento de otro buque, o bien a prestar su colaboración para las maniobras del buque remolcado o, en su caso, el acompañamiento o puesta a disposición del buque.</w:t>
      </w:r>
    </w:p>
    <w:p w14:paraId="100EFAB3" w14:textId="5607A4D5" w:rsidR="0016791C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arrendamiento </w:t>
      </w:r>
      <w:r w:rsidR="00BB3B2B" w:rsidRPr="0039477E">
        <w:rPr>
          <w:bCs/>
          <w:spacing w:val="-3"/>
        </w:rPr>
        <w:t>náutico</w:t>
      </w:r>
      <w:r w:rsidR="00195428" w:rsidRPr="0039477E">
        <w:rPr>
          <w:bCs/>
          <w:spacing w:val="-3"/>
        </w:rPr>
        <w:t xml:space="preserve">, por el que el </w:t>
      </w:r>
      <w:r w:rsidRPr="0039477E">
        <w:rPr>
          <w:bCs/>
          <w:spacing w:val="-3"/>
        </w:rPr>
        <w:t>arrendador cede o pone a disposición del arrendatario, a cambio de precio, un buque o embarcación por un período de tiempo y con una finalidad exclusivamente deportiva o recreativa.</w:t>
      </w:r>
    </w:p>
    <w:p w14:paraId="45F550F1" w14:textId="77777777" w:rsidR="00743168" w:rsidRDefault="00743168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401D452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A67C03B" w:rsidR="005726E8" w:rsidRPr="00FF4CC7" w:rsidRDefault="007C69A5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743168">
        <w:rPr>
          <w:spacing w:val="-3"/>
        </w:rPr>
        <w:t xml:space="preserve">enero </w:t>
      </w:r>
      <w:r w:rsidR="00FC39A8">
        <w:rPr>
          <w:spacing w:val="-3"/>
        </w:rPr>
        <w:t>de 202</w:t>
      </w:r>
      <w:r w:rsidR="00743168">
        <w:rPr>
          <w:spacing w:val="-3"/>
        </w:rPr>
        <w:t>3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8348" w14:textId="77777777" w:rsidR="00757F47" w:rsidRDefault="00757F47" w:rsidP="00DB250B">
      <w:r>
        <w:separator/>
      </w:r>
    </w:p>
  </w:endnote>
  <w:endnote w:type="continuationSeparator" w:id="0">
    <w:p w14:paraId="51D03026" w14:textId="77777777" w:rsidR="00757F47" w:rsidRDefault="00757F47" w:rsidP="00DB250B">
      <w:r>
        <w:continuationSeparator/>
      </w:r>
    </w:p>
  </w:endnote>
  <w:endnote w:type="continuationNotice" w:id="1">
    <w:p w14:paraId="713BBCAE" w14:textId="77777777" w:rsidR="00757F47" w:rsidRDefault="00757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B171F" w14:textId="77777777" w:rsidR="00757F47" w:rsidRDefault="00757F47" w:rsidP="00DB250B">
      <w:r>
        <w:separator/>
      </w:r>
    </w:p>
  </w:footnote>
  <w:footnote w:type="continuationSeparator" w:id="0">
    <w:p w14:paraId="3119050E" w14:textId="77777777" w:rsidR="00757F47" w:rsidRDefault="00757F47" w:rsidP="00DB250B">
      <w:r>
        <w:continuationSeparator/>
      </w:r>
    </w:p>
  </w:footnote>
  <w:footnote w:type="continuationNotice" w:id="1">
    <w:p w14:paraId="633A224F" w14:textId="77777777" w:rsidR="00757F47" w:rsidRDefault="00757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74DD"/>
    <w:multiLevelType w:val="hybridMultilevel"/>
    <w:tmpl w:val="4C1AF5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16D26"/>
    <w:multiLevelType w:val="hybridMultilevel"/>
    <w:tmpl w:val="40F2ED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26491A"/>
    <w:multiLevelType w:val="hybridMultilevel"/>
    <w:tmpl w:val="6AB40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156D65"/>
    <w:multiLevelType w:val="hybridMultilevel"/>
    <w:tmpl w:val="1FEE6A6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5F429C"/>
    <w:multiLevelType w:val="hybridMultilevel"/>
    <w:tmpl w:val="553C63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C9611CB"/>
    <w:multiLevelType w:val="hybridMultilevel"/>
    <w:tmpl w:val="A416802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F11200C"/>
    <w:multiLevelType w:val="hybridMultilevel"/>
    <w:tmpl w:val="4D507C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36460"/>
    <w:multiLevelType w:val="hybridMultilevel"/>
    <w:tmpl w:val="E9EA5F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41A5F0F"/>
    <w:multiLevelType w:val="hybridMultilevel"/>
    <w:tmpl w:val="1D2EF30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C5BB18A8-D19C-46E0-8E9B-34927FC265CC}"/>
    <w:docVar w:name="dgnword-eventsink" w:val="2888594626048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877"/>
    <w:rsid w:val="00002944"/>
    <w:rsid w:val="00002ABE"/>
    <w:rsid w:val="00002C6B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A84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6FFD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48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6B7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4BA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26A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2A3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06E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0E8E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00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7B0"/>
    <w:rsid w:val="00095BCE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EF9"/>
    <w:rsid w:val="00097FC4"/>
    <w:rsid w:val="000A0028"/>
    <w:rsid w:val="000A0274"/>
    <w:rsid w:val="000A06C8"/>
    <w:rsid w:val="000A071F"/>
    <w:rsid w:val="000A089F"/>
    <w:rsid w:val="000A0C4D"/>
    <w:rsid w:val="000A0EB6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3F11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43"/>
    <w:rsid w:val="000B6AD4"/>
    <w:rsid w:val="000B6C6D"/>
    <w:rsid w:val="000B6EE0"/>
    <w:rsid w:val="000B72A2"/>
    <w:rsid w:val="000B752A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0FDB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116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425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103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713"/>
    <w:rsid w:val="000E573D"/>
    <w:rsid w:val="000E6024"/>
    <w:rsid w:val="000E61A9"/>
    <w:rsid w:val="000E67FE"/>
    <w:rsid w:val="000E6CFC"/>
    <w:rsid w:val="000E6E48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3CE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A5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46A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DD8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7B5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998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89B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5CB"/>
    <w:rsid w:val="001658E1"/>
    <w:rsid w:val="00165A7B"/>
    <w:rsid w:val="00165AA7"/>
    <w:rsid w:val="00165D14"/>
    <w:rsid w:val="00165DB1"/>
    <w:rsid w:val="00165F38"/>
    <w:rsid w:val="0016600A"/>
    <w:rsid w:val="00166045"/>
    <w:rsid w:val="00166197"/>
    <w:rsid w:val="0016672F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A05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8F0"/>
    <w:rsid w:val="0018398F"/>
    <w:rsid w:val="00183CD5"/>
    <w:rsid w:val="00183F7D"/>
    <w:rsid w:val="00184125"/>
    <w:rsid w:val="00184140"/>
    <w:rsid w:val="0018416A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0EA2"/>
    <w:rsid w:val="00191663"/>
    <w:rsid w:val="0019199F"/>
    <w:rsid w:val="00191BF6"/>
    <w:rsid w:val="00191C59"/>
    <w:rsid w:val="00191CB8"/>
    <w:rsid w:val="00191EB2"/>
    <w:rsid w:val="00192046"/>
    <w:rsid w:val="00192352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428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97E1E"/>
    <w:rsid w:val="001A03AC"/>
    <w:rsid w:val="001A0A72"/>
    <w:rsid w:val="001A0CC2"/>
    <w:rsid w:val="001A0D3D"/>
    <w:rsid w:val="001A0D48"/>
    <w:rsid w:val="001A17FF"/>
    <w:rsid w:val="001A1CA4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53B"/>
    <w:rsid w:val="001C783C"/>
    <w:rsid w:val="001C7BFF"/>
    <w:rsid w:val="001C7D08"/>
    <w:rsid w:val="001D01D1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944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5EF4"/>
    <w:rsid w:val="001D696A"/>
    <w:rsid w:val="001D74FC"/>
    <w:rsid w:val="001D7524"/>
    <w:rsid w:val="001D7581"/>
    <w:rsid w:val="001D7724"/>
    <w:rsid w:val="001D7CF0"/>
    <w:rsid w:val="001D7E08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EE3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74E"/>
    <w:rsid w:val="001F280F"/>
    <w:rsid w:val="001F32C5"/>
    <w:rsid w:val="001F3875"/>
    <w:rsid w:val="001F3D0D"/>
    <w:rsid w:val="001F40CA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420"/>
    <w:rsid w:val="001F76C0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841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0C76"/>
    <w:rsid w:val="00221048"/>
    <w:rsid w:val="002216C3"/>
    <w:rsid w:val="002216DE"/>
    <w:rsid w:val="0022176E"/>
    <w:rsid w:val="00221ACE"/>
    <w:rsid w:val="002223BA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6E62"/>
    <w:rsid w:val="00227097"/>
    <w:rsid w:val="0022713D"/>
    <w:rsid w:val="0022746A"/>
    <w:rsid w:val="0022768A"/>
    <w:rsid w:val="002276BF"/>
    <w:rsid w:val="00227D23"/>
    <w:rsid w:val="0023001A"/>
    <w:rsid w:val="00230055"/>
    <w:rsid w:val="0023034B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5CB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6D8E"/>
    <w:rsid w:val="0023711B"/>
    <w:rsid w:val="00237267"/>
    <w:rsid w:val="0023735B"/>
    <w:rsid w:val="00237798"/>
    <w:rsid w:val="00237C43"/>
    <w:rsid w:val="00237E2A"/>
    <w:rsid w:val="0024014F"/>
    <w:rsid w:val="0024025D"/>
    <w:rsid w:val="00240845"/>
    <w:rsid w:val="00240872"/>
    <w:rsid w:val="002408ED"/>
    <w:rsid w:val="00240970"/>
    <w:rsid w:val="00240BA9"/>
    <w:rsid w:val="00240F00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47F26"/>
    <w:rsid w:val="00250033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3F0F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7F7"/>
    <w:rsid w:val="002608CD"/>
    <w:rsid w:val="002609B5"/>
    <w:rsid w:val="00260B3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B40"/>
    <w:rsid w:val="00262EF0"/>
    <w:rsid w:val="00263673"/>
    <w:rsid w:val="00263765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A16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9B0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5FCB"/>
    <w:rsid w:val="002A61BC"/>
    <w:rsid w:val="002A6218"/>
    <w:rsid w:val="002A6219"/>
    <w:rsid w:val="002A630F"/>
    <w:rsid w:val="002A63A1"/>
    <w:rsid w:val="002A65E8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AEB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B77F9"/>
    <w:rsid w:val="002B7B62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B4C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AD4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89B"/>
    <w:rsid w:val="00334911"/>
    <w:rsid w:val="00335104"/>
    <w:rsid w:val="0033514B"/>
    <w:rsid w:val="003351E5"/>
    <w:rsid w:val="00335A58"/>
    <w:rsid w:val="00335B1C"/>
    <w:rsid w:val="003362C8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2DA5"/>
    <w:rsid w:val="00373052"/>
    <w:rsid w:val="00373110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3DC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67F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A80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77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AF2"/>
    <w:rsid w:val="003A1BA7"/>
    <w:rsid w:val="003A1FC5"/>
    <w:rsid w:val="003A22C3"/>
    <w:rsid w:val="003A25A2"/>
    <w:rsid w:val="003A25AE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BEB"/>
    <w:rsid w:val="003A4C0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840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1E5F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7BE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9F3"/>
    <w:rsid w:val="003E1B75"/>
    <w:rsid w:val="003E1F33"/>
    <w:rsid w:val="003E2124"/>
    <w:rsid w:val="003E21A3"/>
    <w:rsid w:val="003E2508"/>
    <w:rsid w:val="003E26F3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567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A8F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A9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3D38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8C8"/>
    <w:rsid w:val="00406CD0"/>
    <w:rsid w:val="00406CDA"/>
    <w:rsid w:val="00406D12"/>
    <w:rsid w:val="00406DFB"/>
    <w:rsid w:val="00406E0C"/>
    <w:rsid w:val="004070D6"/>
    <w:rsid w:val="0040743E"/>
    <w:rsid w:val="00407825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3D4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8B9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B57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2E45"/>
    <w:rsid w:val="00443528"/>
    <w:rsid w:val="0044355E"/>
    <w:rsid w:val="00443C4C"/>
    <w:rsid w:val="00444758"/>
    <w:rsid w:val="0044497B"/>
    <w:rsid w:val="00444DC1"/>
    <w:rsid w:val="00444ECA"/>
    <w:rsid w:val="0044501F"/>
    <w:rsid w:val="004458A0"/>
    <w:rsid w:val="00446037"/>
    <w:rsid w:val="00446228"/>
    <w:rsid w:val="00446C00"/>
    <w:rsid w:val="00447172"/>
    <w:rsid w:val="00447409"/>
    <w:rsid w:val="004477C8"/>
    <w:rsid w:val="00447DFF"/>
    <w:rsid w:val="004502F6"/>
    <w:rsid w:val="00450BBE"/>
    <w:rsid w:val="00450FBB"/>
    <w:rsid w:val="00451419"/>
    <w:rsid w:val="00451604"/>
    <w:rsid w:val="00451C62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6A9"/>
    <w:rsid w:val="00453990"/>
    <w:rsid w:val="00453B35"/>
    <w:rsid w:val="00453C8E"/>
    <w:rsid w:val="00453F72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1C06"/>
    <w:rsid w:val="00462354"/>
    <w:rsid w:val="004623E5"/>
    <w:rsid w:val="0046251C"/>
    <w:rsid w:val="00462C2C"/>
    <w:rsid w:val="004631BB"/>
    <w:rsid w:val="00463201"/>
    <w:rsid w:val="00463393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95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851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4C"/>
    <w:rsid w:val="0047677D"/>
    <w:rsid w:val="00476C12"/>
    <w:rsid w:val="00476C2C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5B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656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62B"/>
    <w:rsid w:val="004A7DCD"/>
    <w:rsid w:val="004A7FCC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2C4"/>
    <w:rsid w:val="004C141B"/>
    <w:rsid w:val="004C1498"/>
    <w:rsid w:val="004C17C2"/>
    <w:rsid w:val="004C1BE8"/>
    <w:rsid w:val="004C1EF6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5BD0"/>
    <w:rsid w:val="004C614F"/>
    <w:rsid w:val="004C63D5"/>
    <w:rsid w:val="004C64C7"/>
    <w:rsid w:val="004C68A9"/>
    <w:rsid w:val="004C6A56"/>
    <w:rsid w:val="004C6A97"/>
    <w:rsid w:val="004C6F1C"/>
    <w:rsid w:val="004C703D"/>
    <w:rsid w:val="004C7B8D"/>
    <w:rsid w:val="004C7C1A"/>
    <w:rsid w:val="004C7CA8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BB2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D78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4D"/>
    <w:rsid w:val="004D71DF"/>
    <w:rsid w:val="004D74EE"/>
    <w:rsid w:val="004D7779"/>
    <w:rsid w:val="004D7B30"/>
    <w:rsid w:val="004D7B43"/>
    <w:rsid w:val="004D7B57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AFF"/>
    <w:rsid w:val="004E7B5E"/>
    <w:rsid w:val="004E7D89"/>
    <w:rsid w:val="004E7DAC"/>
    <w:rsid w:val="004E7E14"/>
    <w:rsid w:val="004E7F5F"/>
    <w:rsid w:val="004E7FCB"/>
    <w:rsid w:val="004F027D"/>
    <w:rsid w:val="004F02B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7F"/>
    <w:rsid w:val="004F5B9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353"/>
    <w:rsid w:val="005007E7"/>
    <w:rsid w:val="00500951"/>
    <w:rsid w:val="00500DE4"/>
    <w:rsid w:val="00500EC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0BD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27F37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2FD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2A8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6D9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4E7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047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64C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39A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0CF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0B2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86E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49D"/>
    <w:rsid w:val="005A1661"/>
    <w:rsid w:val="005A1702"/>
    <w:rsid w:val="005A1719"/>
    <w:rsid w:val="005A1B6C"/>
    <w:rsid w:val="005A1CB2"/>
    <w:rsid w:val="005A1DE2"/>
    <w:rsid w:val="005A1EB5"/>
    <w:rsid w:val="005A2027"/>
    <w:rsid w:val="005A25C8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485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06DA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836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1F3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789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C9B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4DB6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111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6C"/>
    <w:rsid w:val="00630585"/>
    <w:rsid w:val="00630662"/>
    <w:rsid w:val="00630719"/>
    <w:rsid w:val="00630A31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837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DF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071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77F9C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8BF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336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9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A9A"/>
    <w:rsid w:val="006B6BA3"/>
    <w:rsid w:val="006B6CB9"/>
    <w:rsid w:val="006B6CE8"/>
    <w:rsid w:val="006B7387"/>
    <w:rsid w:val="006B7C2D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6C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7FC"/>
    <w:rsid w:val="006C798E"/>
    <w:rsid w:val="006D0147"/>
    <w:rsid w:val="006D0186"/>
    <w:rsid w:val="006D0276"/>
    <w:rsid w:val="006D029D"/>
    <w:rsid w:val="006D0460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38C8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D9D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594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D1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42D"/>
    <w:rsid w:val="00723564"/>
    <w:rsid w:val="0072398B"/>
    <w:rsid w:val="00723FFD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91B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0A79"/>
    <w:rsid w:val="0074103E"/>
    <w:rsid w:val="00741819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168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5FB4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6B1"/>
    <w:rsid w:val="00757825"/>
    <w:rsid w:val="00757AE6"/>
    <w:rsid w:val="00757BE8"/>
    <w:rsid w:val="00757F47"/>
    <w:rsid w:val="00757F5D"/>
    <w:rsid w:val="0076001E"/>
    <w:rsid w:val="00760271"/>
    <w:rsid w:val="00760547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36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673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5F8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0F1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425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5E3D"/>
    <w:rsid w:val="007B6574"/>
    <w:rsid w:val="007B6866"/>
    <w:rsid w:val="007B69B0"/>
    <w:rsid w:val="007B6CA5"/>
    <w:rsid w:val="007B6D6D"/>
    <w:rsid w:val="007B7051"/>
    <w:rsid w:val="007B71A0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D19"/>
    <w:rsid w:val="007C1EF9"/>
    <w:rsid w:val="007C2172"/>
    <w:rsid w:val="007C234E"/>
    <w:rsid w:val="007C243A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9A5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95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36E"/>
    <w:rsid w:val="007E1A96"/>
    <w:rsid w:val="007E1AD4"/>
    <w:rsid w:val="007E1CF0"/>
    <w:rsid w:val="007E2219"/>
    <w:rsid w:val="007E29FE"/>
    <w:rsid w:val="007E2CDD"/>
    <w:rsid w:val="007E2D97"/>
    <w:rsid w:val="007E2EE2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B98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36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98A"/>
    <w:rsid w:val="00817AF4"/>
    <w:rsid w:val="00817CD0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6F3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DA2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E39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731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3F06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736"/>
    <w:rsid w:val="00896E22"/>
    <w:rsid w:val="00897202"/>
    <w:rsid w:val="008977B1"/>
    <w:rsid w:val="00897914"/>
    <w:rsid w:val="008979C5"/>
    <w:rsid w:val="00897D26"/>
    <w:rsid w:val="008A045F"/>
    <w:rsid w:val="008A0A1D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396E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55B2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39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6EF0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756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6A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0C"/>
    <w:rsid w:val="008E3121"/>
    <w:rsid w:val="008E3795"/>
    <w:rsid w:val="008E3942"/>
    <w:rsid w:val="008E3A84"/>
    <w:rsid w:val="008E3A88"/>
    <w:rsid w:val="008E3BD9"/>
    <w:rsid w:val="008E3C63"/>
    <w:rsid w:val="008E3CC7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833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8A4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63F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4A0"/>
    <w:rsid w:val="009135F3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D"/>
    <w:rsid w:val="0091563F"/>
    <w:rsid w:val="009156CC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74B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1C6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09B"/>
    <w:rsid w:val="00941119"/>
    <w:rsid w:val="00941FE3"/>
    <w:rsid w:val="0094212A"/>
    <w:rsid w:val="0094253E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1FF3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4EA1"/>
    <w:rsid w:val="009557BE"/>
    <w:rsid w:val="00955831"/>
    <w:rsid w:val="009558BE"/>
    <w:rsid w:val="009559C3"/>
    <w:rsid w:val="00955F1A"/>
    <w:rsid w:val="00956421"/>
    <w:rsid w:val="009567B8"/>
    <w:rsid w:val="009569BD"/>
    <w:rsid w:val="00956B9E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2A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58D"/>
    <w:rsid w:val="009647B8"/>
    <w:rsid w:val="00964997"/>
    <w:rsid w:val="0096562A"/>
    <w:rsid w:val="00965805"/>
    <w:rsid w:val="0096581B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48E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2FE2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199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55"/>
    <w:rsid w:val="009B3792"/>
    <w:rsid w:val="009B39D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0F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1C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6B0"/>
    <w:rsid w:val="009C5968"/>
    <w:rsid w:val="009C5F0C"/>
    <w:rsid w:val="009C6001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66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0AA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5FC"/>
    <w:rsid w:val="009E47E4"/>
    <w:rsid w:val="009E4986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4FE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A8A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94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4F19"/>
    <w:rsid w:val="00A050F6"/>
    <w:rsid w:val="00A055F9"/>
    <w:rsid w:val="00A05748"/>
    <w:rsid w:val="00A05F45"/>
    <w:rsid w:val="00A05FEF"/>
    <w:rsid w:val="00A06AA1"/>
    <w:rsid w:val="00A06B4A"/>
    <w:rsid w:val="00A06E38"/>
    <w:rsid w:val="00A06F34"/>
    <w:rsid w:val="00A074D1"/>
    <w:rsid w:val="00A07752"/>
    <w:rsid w:val="00A07BB9"/>
    <w:rsid w:val="00A109B4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847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C91"/>
    <w:rsid w:val="00A41DB5"/>
    <w:rsid w:val="00A41DE7"/>
    <w:rsid w:val="00A41E06"/>
    <w:rsid w:val="00A4209E"/>
    <w:rsid w:val="00A425EE"/>
    <w:rsid w:val="00A4289C"/>
    <w:rsid w:val="00A42A34"/>
    <w:rsid w:val="00A43199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58C"/>
    <w:rsid w:val="00A557EA"/>
    <w:rsid w:val="00A557FB"/>
    <w:rsid w:val="00A559AB"/>
    <w:rsid w:val="00A55C39"/>
    <w:rsid w:val="00A55D4E"/>
    <w:rsid w:val="00A55E64"/>
    <w:rsid w:val="00A55E97"/>
    <w:rsid w:val="00A561F7"/>
    <w:rsid w:val="00A56275"/>
    <w:rsid w:val="00A56391"/>
    <w:rsid w:val="00A567E4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3BF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C9C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7"/>
    <w:rsid w:val="00A7784F"/>
    <w:rsid w:val="00A77A71"/>
    <w:rsid w:val="00A77C4D"/>
    <w:rsid w:val="00A800C9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5C1F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0F62"/>
    <w:rsid w:val="00AA122E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014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74A"/>
    <w:rsid w:val="00AC387E"/>
    <w:rsid w:val="00AC3C71"/>
    <w:rsid w:val="00AC3E21"/>
    <w:rsid w:val="00AC4068"/>
    <w:rsid w:val="00AC45B4"/>
    <w:rsid w:val="00AC46A2"/>
    <w:rsid w:val="00AC4ACF"/>
    <w:rsid w:val="00AC4C90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0DD8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705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977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A82"/>
    <w:rsid w:val="00B20B45"/>
    <w:rsid w:val="00B20B89"/>
    <w:rsid w:val="00B20D9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5D5"/>
    <w:rsid w:val="00B2485E"/>
    <w:rsid w:val="00B25173"/>
    <w:rsid w:val="00B252B1"/>
    <w:rsid w:val="00B25317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660"/>
    <w:rsid w:val="00B309E9"/>
    <w:rsid w:val="00B30D0B"/>
    <w:rsid w:val="00B31463"/>
    <w:rsid w:val="00B3167C"/>
    <w:rsid w:val="00B3186A"/>
    <w:rsid w:val="00B319C2"/>
    <w:rsid w:val="00B31AA9"/>
    <w:rsid w:val="00B31ADA"/>
    <w:rsid w:val="00B31D47"/>
    <w:rsid w:val="00B321D4"/>
    <w:rsid w:val="00B32632"/>
    <w:rsid w:val="00B32701"/>
    <w:rsid w:val="00B32816"/>
    <w:rsid w:val="00B3293A"/>
    <w:rsid w:val="00B32B51"/>
    <w:rsid w:val="00B32E77"/>
    <w:rsid w:val="00B32EDB"/>
    <w:rsid w:val="00B3345C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055"/>
    <w:rsid w:val="00B53699"/>
    <w:rsid w:val="00B537F0"/>
    <w:rsid w:val="00B53C75"/>
    <w:rsid w:val="00B53E32"/>
    <w:rsid w:val="00B53F09"/>
    <w:rsid w:val="00B5400C"/>
    <w:rsid w:val="00B544D4"/>
    <w:rsid w:val="00B54527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CFE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957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30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13E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85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374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04"/>
    <w:rsid w:val="00BA4EDB"/>
    <w:rsid w:val="00BA527E"/>
    <w:rsid w:val="00BA5572"/>
    <w:rsid w:val="00BA5615"/>
    <w:rsid w:val="00BA5F6C"/>
    <w:rsid w:val="00BA5F80"/>
    <w:rsid w:val="00BA663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3B2B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0EAD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000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6F41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C64"/>
    <w:rsid w:val="00C13EB9"/>
    <w:rsid w:val="00C140F8"/>
    <w:rsid w:val="00C14371"/>
    <w:rsid w:val="00C143EA"/>
    <w:rsid w:val="00C148F9"/>
    <w:rsid w:val="00C14BC2"/>
    <w:rsid w:val="00C14BD8"/>
    <w:rsid w:val="00C14E07"/>
    <w:rsid w:val="00C14F39"/>
    <w:rsid w:val="00C151DE"/>
    <w:rsid w:val="00C15404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3E9A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43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815"/>
    <w:rsid w:val="00C36B53"/>
    <w:rsid w:val="00C36BA5"/>
    <w:rsid w:val="00C37A4C"/>
    <w:rsid w:val="00C37AF9"/>
    <w:rsid w:val="00C4036A"/>
    <w:rsid w:val="00C40394"/>
    <w:rsid w:val="00C407FD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8A"/>
    <w:rsid w:val="00C503AB"/>
    <w:rsid w:val="00C50D24"/>
    <w:rsid w:val="00C50E79"/>
    <w:rsid w:val="00C5101B"/>
    <w:rsid w:val="00C5109D"/>
    <w:rsid w:val="00C51804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14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BD4"/>
    <w:rsid w:val="00C67E74"/>
    <w:rsid w:val="00C702F2"/>
    <w:rsid w:val="00C70494"/>
    <w:rsid w:val="00C70857"/>
    <w:rsid w:val="00C7087D"/>
    <w:rsid w:val="00C70AD2"/>
    <w:rsid w:val="00C70F0B"/>
    <w:rsid w:val="00C71406"/>
    <w:rsid w:val="00C71D7D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616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17F"/>
    <w:rsid w:val="00C94421"/>
    <w:rsid w:val="00C9445A"/>
    <w:rsid w:val="00C9449A"/>
    <w:rsid w:val="00C94775"/>
    <w:rsid w:val="00C948A4"/>
    <w:rsid w:val="00C94A1D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9FA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3E"/>
    <w:rsid w:val="00CA15D6"/>
    <w:rsid w:val="00CA1679"/>
    <w:rsid w:val="00CA1819"/>
    <w:rsid w:val="00CA186C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688F"/>
    <w:rsid w:val="00CA76B6"/>
    <w:rsid w:val="00CA76D6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690"/>
    <w:rsid w:val="00CC5993"/>
    <w:rsid w:val="00CC5A93"/>
    <w:rsid w:val="00CC5BF9"/>
    <w:rsid w:val="00CC5CDF"/>
    <w:rsid w:val="00CC6186"/>
    <w:rsid w:val="00CC65F4"/>
    <w:rsid w:val="00CC6648"/>
    <w:rsid w:val="00CC6C92"/>
    <w:rsid w:val="00CC7001"/>
    <w:rsid w:val="00CC70FC"/>
    <w:rsid w:val="00CC74F4"/>
    <w:rsid w:val="00CC77C1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11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2F9D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38C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E9E"/>
    <w:rsid w:val="00D00F17"/>
    <w:rsid w:val="00D012B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67E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116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C6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0F7A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AFE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0CC"/>
    <w:rsid w:val="00D5313E"/>
    <w:rsid w:val="00D532FE"/>
    <w:rsid w:val="00D535E8"/>
    <w:rsid w:val="00D5438B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B8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907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000"/>
    <w:rsid w:val="00D67480"/>
    <w:rsid w:val="00D676FC"/>
    <w:rsid w:val="00D67946"/>
    <w:rsid w:val="00D67FEC"/>
    <w:rsid w:val="00D70847"/>
    <w:rsid w:val="00D709A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F0"/>
    <w:rsid w:val="00D771C7"/>
    <w:rsid w:val="00D771F6"/>
    <w:rsid w:val="00D77306"/>
    <w:rsid w:val="00D776CF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B41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87EC2"/>
    <w:rsid w:val="00D9015C"/>
    <w:rsid w:val="00D9024C"/>
    <w:rsid w:val="00D90B9E"/>
    <w:rsid w:val="00D91101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A7ED5"/>
    <w:rsid w:val="00DA7F23"/>
    <w:rsid w:val="00DB0352"/>
    <w:rsid w:val="00DB04EF"/>
    <w:rsid w:val="00DB074A"/>
    <w:rsid w:val="00DB0755"/>
    <w:rsid w:val="00DB1459"/>
    <w:rsid w:val="00DB1F38"/>
    <w:rsid w:val="00DB1FAC"/>
    <w:rsid w:val="00DB22E2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8D8"/>
    <w:rsid w:val="00DC6AAC"/>
    <w:rsid w:val="00DC6C8E"/>
    <w:rsid w:val="00DC6F00"/>
    <w:rsid w:val="00DC73AB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02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40E"/>
    <w:rsid w:val="00DF4904"/>
    <w:rsid w:val="00DF49E6"/>
    <w:rsid w:val="00DF4A24"/>
    <w:rsid w:val="00DF4CCD"/>
    <w:rsid w:val="00DF5272"/>
    <w:rsid w:val="00DF59B9"/>
    <w:rsid w:val="00DF5A90"/>
    <w:rsid w:val="00DF5AA9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83"/>
    <w:rsid w:val="00E0667C"/>
    <w:rsid w:val="00E0677B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5D48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27D45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7DD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3CF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5F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4F5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A20"/>
    <w:rsid w:val="00E97B3A"/>
    <w:rsid w:val="00E97C11"/>
    <w:rsid w:val="00E97DA3"/>
    <w:rsid w:val="00E97FF4"/>
    <w:rsid w:val="00EA01BA"/>
    <w:rsid w:val="00EA0265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78E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A7DDC"/>
    <w:rsid w:val="00EB02EC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458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BB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820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883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1D36"/>
    <w:rsid w:val="00F02724"/>
    <w:rsid w:val="00F0274F"/>
    <w:rsid w:val="00F027F5"/>
    <w:rsid w:val="00F02865"/>
    <w:rsid w:val="00F02F34"/>
    <w:rsid w:val="00F03042"/>
    <w:rsid w:val="00F03075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0CEB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C29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CE3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4907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53AA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40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8D5"/>
    <w:rsid w:val="00F41942"/>
    <w:rsid w:val="00F41B90"/>
    <w:rsid w:val="00F41BFD"/>
    <w:rsid w:val="00F420F3"/>
    <w:rsid w:val="00F42310"/>
    <w:rsid w:val="00F424A3"/>
    <w:rsid w:val="00F42C51"/>
    <w:rsid w:val="00F42CA4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8E8"/>
    <w:rsid w:val="00F46F56"/>
    <w:rsid w:val="00F4771F"/>
    <w:rsid w:val="00F47811"/>
    <w:rsid w:val="00F47A71"/>
    <w:rsid w:val="00F505D6"/>
    <w:rsid w:val="00F505F3"/>
    <w:rsid w:val="00F50636"/>
    <w:rsid w:val="00F5069E"/>
    <w:rsid w:val="00F506C5"/>
    <w:rsid w:val="00F50E22"/>
    <w:rsid w:val="00F51959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695"/>
    <w:rsid w:val="00F61830"/>
    <w:rsid w:val="00F61923"/>
    <w:rsid w:val="00F61BAB"/>
    <w:rsid w:val="00F61FF7"/>
    <w:rsid w:val="00F626BB"/>
    <w:rsid w:val="00F62952"/>
    <w:rsid w:val="00F62C29"/>
    <w:rsid w:val="00F62EB9"/>
    <w:rsid w:val="00F6343B"/>
    <w:rsid w:val="00F63467"/>
    <w:rsid w:val="00F63548"/>
    <w:rsid w:val="00F637B1"/>
    <w:rsid w:val="00F63939"/>
    <w:rsid w:val="00F63BC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074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03"/>
    <w:rsid w:val="00F67E88"/>
    <w:rsid w:val="00F70214"/>
    <w:rsid w:val="00F7082E"/>
    <w:rsid w:val="00F708AB"/>
    <w:rsid w:val="00F70ABA"/>
    <w:rsid w:val="00F70D4D"/>
    <w:rsid w:val="00F70F6B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8D6"/>
    <w:rsid w:val="00F74FC1"/>
    <w:rsid w:val="00F7506E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1D18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513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7F3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131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069"/>
    <w:rsid w:val="00FC01D1"/>
    <w:rsid w:val="00FC08C4"/>
    <w:rsid w:val="00FC0C83"/>
    <w:rsid w:val="00FC102C"/>
    <w:rsid w:val="00FC10C4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253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618"/>
    <w:rsid w:val="00FF2773"/>
    <w:rsid w:val="00FF28DF"/>
    <w:rsid w:val="00FF305E"/>
    <w:rsid w:val="00FF32BD"/>
    <w:rsid w:val="00FF3447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6</Pages>
  <Words>1760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cp:lastPrinted>2022-11-15T11:56:00Z</cp:lastPrinted>
  <dcterms:created xsi:type="dcterms:W3CDTF">2023-01-04T09:35:00Z</dcterms:created>
  <dcterms:modified xsi:type="dcterms:W3CDTF">2023-01-10T18:23:00Z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