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2F0C41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5F485E">
        <w:rPr>
          <w:b/>
          <w:bCs/>
          <w:sz w:val="28"/>
          <w:szCs w:val="28"/>
        </w:rPr>
        <w:t>6</w:t>
      </w:r>
      <w:r w:rsidR="004302A2">
        <w:rPr>
          <w:b/>
          <w:bCs/>
          <w:sz w:val="28"/>
          <w:szCs w:val="28"/>
        </w:rPr>
        <w:t>3</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091D5FF2" w:rsidR="00BC4945" w:rsidRPr="00780BCB" w:rsidRDefault="005F485E"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76725034"/>
      <w:bookmarkStart w:id="6" w:name="_Hlk77851818"/>
      <w:bookmarkStart w:id="7" w:name="_Hlk86421363"/>
      <w:r w:rsidRPr="005F485E">
        <w:rPr>
          <w:b/>
          <w:bCs/>
          <w:color w:val="000000"/>
          <w:sz w:val="28"/>
          <w:szCs w:val="28"/>
        </w:rPr>
        <w:t>LOS CONTRATOS ALEATORIOS</w:t>
      </w:r>
      <w:r w:rsidR="00F54132">
        <w:rPr>
          <w:b/>
          <w:bCs/>
          <w:color w:val="000000"/>
          <w:sz w:val="28"/>
          <w:szCs w:val="28"/>
        </w:rPr>
        <w:t xml:space="preserve">. </w:t>
      </w:r>
      <w:r w:rsidRPr="005F485E">
        <w:rPr>
          <w:b/>
          <w:bCs/>
          <w:color w:val="000000"/>
          <w:sz w:val="28"/>
          <w:szCs w:val="28"/>
        </w:rPr>
        <w:t xml:space="preserve">EL CONTRATO DE ALIMENTOS. </w:t>
      </w:r>
      <w:bookmarkStart w:id="8" w:name="_Hlk91930996"/>
      <w:r w:rsidRPr="005F485E">
        <w:rPr>
          <w:b/>
          <w:bCs/>
          <w:color w:val="000000"/>
          <w:sz w:val="28"/>
          <w:szCs w:val="28"/>
        </w:rPr>
        <w:t>EL JUEGO Y LA APUESTA.</w:t>
      </w:r>
      <w:bookmarkEnd w:id="8"/>
      <w:r w:rsidRPr="005F485E">
        <w:rPr>
          <w:b/>
          <w:bCs/>
          <w:color w:val="000000"/>
          <w:sz w:val="28"/>
          <w:szCs w:val="28"/>
        </w:rPr>
        <w:t xml:space="preserve"> LA RENTA VITALICIA. </w:t>
      </w:r>
      <w:bookmarkStart w:id="9" w:name="_Hlk91931942"/>
      <w:r w:rsidRPr="005F485E">
        <w:rPr>
          <w:b/>
          <w:bCs/>
          <w:color w:val="000000"/>
          <w:sz w:val="28"/>
          <w:szCs w:val="28"/>
        </w:rPr>
        <w:t>CONTRATO DE TRANSACCIÓN</w:t>
      </w:r>
      <w:bookmarkEnd w:id="9"/>
      <w:r w:rsidRPr="005F485E">
        <w:rPr>
          <w:b/>
          <w:bCs/>
          <w:color w:val="000000"/>
          <w:sz w:val="28"/>
          <w:szCs w:val="28"/>
        </w:rPr>
        <w:t>. EL CONVENIO ARBITRAL</w:t>
      </w:r>
      <w:r w:rsidRPr="0063254C">
        <w:rPr>
          <w:b/>
          <w:bCs/>
          <w:color w:val="000000"/>
          <w:sz w:val="28"/>
          <w:szCs w:val="28"/>
        </w:rPr>
        <w:t>.</w:t>
      </w:r>
      <w:bookmarkEnd w:id="0"/>
      <w:bookmarkEnd w:id="1"/>
      <w:bookmarkEnd w:id="2"/>
      <w:bookmarkEnd w:id="3"/>
      <w:bookmarkEnd w:id="4"/>
    </w:p>
    <w:bookmarkEnd w:id="5"/>
    <w:bookmarkEnd w:id="6"/>
    <w:bookmarkEnd w:id="7"/>
    <w:p w14:paraId="3593FD7B" w14:textId="77777777" w:rsidR="007F4ECE" w:rsidRPr="004E4923" w:rsidRDefault="007F4ECE" w:rsidP="008E2A62">
      <w:pPr>
        <w:spacing w:before="120" w:after="120" w:line="360" w:lineRule="auto"/>
        <w:jc w:val="both"/>
        <w:rPr>
          <w:color w:val="000000"/>
        </w:rPr>
      </w:pPr>
    </w:p>
    <w:p w14:paraId="27ED4BBE" w14:textId="4CEE6073" w:rsidR="00FB2D3C" w:rsidRDefault="005F485E" w:rsidP="00FB2D3C">
      <w:pPr>
        <w:spacing w:before="120" w:after="120" w:line="360" w:lineRule="auto"/>
        <w:jc w:val="both"/>
        <w:rPr>
          <w:b/>
          <w:bCs/>
          <w:color w:val="000000"/>
        </w:rPr>
      </w:pPr>
      <w:r w:rsidRPr="005F485E">
        <w:rPr>
          <w:b/>
          <w:bCs/>
          <w:color w:val="000000"/>
        </w:rPr>
        <w:t>LOS CONTRATOS ALEATORIOS</w:t>
      </w:r>
      <w:r w:rsidR="00F54132">
        <w:rPr>
          <w:b/>
          <w:bCs/>
          <w:color w:val="000000"/>
        </w:rPr>
        <w:t>.</w:t>
      </w:r>
    </w:p>
    <w:p w14:paraId="591CBF22" w14:textId="688EA129" w:rsidR="00F54132" w:rsidRPr="00F54132" w:rsidRDefault="00F54132" w:rsidP="00F54132">
      <w:pPr>
        <w:spacing w:before="120" w:after="120" w:line="360" w:lineRule="auto"/>
        <w:ind w:firstLine="708"/>
        <w:jc w:val="both"/>
        <w:rPr>
          <w:spacing w:val="-3"/>
        </w:rPr>
      </w:pPr>
      <w:r>
        <w:rPr>
          <w:spacing w:val="-3"/>
        </w:rPr>
        <w:t>Dispone el artículo 1790 del Código Civil de 24 de julio de 1889 que “p</w:t>
      </w:r>
      <w:r w:rsidRPr="00F54132">
        <w:rPr>
          <w:spacing w:val="-3"/>
        </w:rPr>
        <w:t>or el contrato aleatorio, una de las partes, o ambas recíprocamente, se obligan a dar o hacer alguna cosa en equivalencia de lo que la otra parte ha de dar o hacer para el caso de un acontecimiento incierto, o que ha de ocurrir en tiempo indeterminado”</w:t>
      </w:r>
      <w:r>
        <w:rPr>
          <w:spacing w:val="-3"/>
        </w:rPr>
        <w:t>.</w:t>
      </w:r>
    </w:p>
    <w:p w14:paraId="3EDD51BF" w14:textId="50AC4CD6" w:rsidR="00F54132" w:rsidRPr="00F54132" w:rsidRDefault="00DF043B" w:rsidP="00F54132">
      <w:pPr>
        <w:spacing w:before="120" w:after="120" w:line="360" w:lineRule="auto"/>
        <w:ind w:firstLine="708"/>
        <w:jc w:val="both"/>
        <w:rPr>
          <w:spacing w:val="-3"/>
        </w:rPr>
      </w:pPr>
      <w:r>
        <w:rPr>
          <w:spacing w:val="-3"/>
        </w:rPr>
        <w:t xml:space="preserve">El </w:t>
      </w:r>
      <w:r w:rsidR="00F54132" w:rsidRPr="00F54132">
        <w:rPr>
          <w:i/>
          <w:iCs/>
          <w:spacing w:val="-3"/>
        </w:rPr>
        <w:t>alea</w:t>
      </w:r>
      <w:r w:rsidR="00F54132">
        <w:rPr>
          <w:spacing w:val="-3"/>
        </w:rPr>
        <w:t xml:space="preserve"> </w:t>
      </w:r>
      <w:r>
        <w:rPr>
          <w:spacing w:val="-3"/>
        </w:rPr>
        <w:t xml:space="preserve">que caracteriza estos contratos </w:t>
      </w:r>
      <w:r w:rsidR="00F54132" w:rsidRPr="00F54132">
        <w:rPr>
          <w:spacing w:val="-3"/>
        </w:rPr>
        <w:t xml:space="preserve">es la incertidumbre </w:t>
      </w:r>
      <w:r w:rsidR="00D76CB6">
        <w:rPr>
          <w:spacing w:val="-3"/>
        </w:rPr>
        <w:t xml:space="preserve">acerca </w:t>
      </w:r>
      <w:r w:rsidR="00F54132" w:rsidRPr="00F54132">
        <w:rPr>
          <w:spacing w:val="-3"/>
        </w:rPr>
        <w:t xml:space="preserve">de si </w:t>
      </w:r>
      <w:r w:rsidR="00F54132">
        <w:rPr>
          <w:spacing w:val="-3"/>
        </w:rPr>
        <w:t>un</w:t>
      </w:r>
      <w:r w:rsidR="00F54132" w:rsidRPr="00F54132">
        <w:rPr>
          <w:spacing w:val="-3"/>
        </w:rPr>
        <w:t xml:space="preserve"> acontecimiento </w:t>
      </w:r>
      <w:r w:rsidR="00F54132">
        <w:rPr>
          <w:spacing w:val="-3"/>
        </w:rPr>
        <w:t xml:space="preserve">del que depende la prestación de, al menos, una de las partes, </w:t>
      </w:r>
      <w:r w:rsidR="00F54132" w:rsidRPr="00F54132">
        <w:rPr>
          <w:spacing w:val="-3"/>
        </w:rPr>
        <w:t>va o no a ocurrir y</w:t>
      </w:r>
      <w:r w:rsidR="00F54132">
        <w:rPr>
          <w:spacing w:val="-3"/>
        </w:rPr>
        <w:t>,</w:t>
      </w:r>
      <w:r w:rsidR="00F54132" w:rsidRPr="00F54132">
        <w:rPr>
          <w:spacing w:val="-3"/>
        </w:rPr>
        <w:t xml:space="preserve"> </w:t>
      </w:r>
      <w:r w:rsidR="00F54132">
        <w:rPr>
          <w:spacing w:val="-3"/>
        </w:rPr>
        <w:t xml:space="preserve">en su caso, </w:t>
      </w:r>
      <w:r w:rsidR="00F54132" w:rsidRPr="00F54132">
        <w:rPr>
          <w:spacing w:val="-3"/>
        </w:rPr>
        <w:t>cuándo va a ocurrir</w:t>
      </w:r>
      <w:r w:rsidR="00F54132">
        <w:rPr>
          <w:spacing w:val="-3"/>
        </w:rPr>
        <w:t>.</w:t>
      </w:r>
      <w:r w:rsidR="004768FB">
        <w:rPr>
          <w:spacing w:val="-3"/>
        </w:rPr>
        <w:t xml:space="preserve"> </w:t>
      </w:r>
      <w:r>
        <w:rPr>
          <w:spacing w:val="-3"/>
        </w:rPr>
        <w:t>T</w:t>
      </w:r>
      <w:r w:rsidR="00F54132">
        <w:rPr>
          <w:spacing w:val="-3"/>
        </w:rPr>
        <w:t>al acontecimiento</w:t>
      </w:r>
      <w:r w:rsidR="00F54132" w:rsidRPr="00F54132">
        <w:rPr>
          <w:spacing w:val="-3"/>
        </w:rPr>
        <w:t xml:space="preserve"> no </w:t>
      </w:r>
      <w:r w:rsidR="00F54132">
        <w:rPr>
          <w:spacing w:val="-3"/>
        </w:rPr>
        <w:t xml:space="preserve">afecta al perfeccionamiento del contrato ni </w:t>
      </w:r>
      <w:r w:rsidR="00F54132" w:rsidRPr="00F54132">
        <w:rPr>
          <w:spacing w:val="-3"/>
        </w:rPr>
        <w:t xml:space="preserve">actúa a modo de condición </w:t>
      </w:r>
      <w:r w:rsidR="00F54132">
        <w:rPr>
          <w:spacing w:val="-3"/>
        </w:rPr>
        <w:t xml:space="preserve">jurídica de su eficacia, sino que su realización o no </w:t>
      </w:r>
      <w:r w:rsidR="00F54132" w:rsidRPr="00F54132">
        <w:rPr>
          <w:spacing w:val="-3"/>
        </w:rPr>
        <w:t xml:space="preserve">determina la persona obligada o el </w:t>
      </w:r>
      <w:r w:rsidR="00F54132" w:rsidRPr="00F54132">
        <w:rPr>
          <w:i/>
          <w:iCs/>
          <w:spacing w:val="-3"/>
        </w:rPr>
        <w:t>quantum</w:t>
      </w:r>
      <w:r w:rsidR="00F54132" w:rsidRPr="00F54132">
        <w:rPr>
          <w:spacing w:val="-3"/>
        </w:rPr>
        <w:t xml:space="preserve"> de la prestación.</w:t>
      </w:r>
    </w:p>
    <w:p w14:paraId="2E1BF925" w14:textId="17CF8D41" w:rsidR="0063254C" w:rsidRDefault="00F54132" w:rsidP="00F54132">
      <w:pPr>
        <w:spacing w:before="120" w:after="120" w:line="360" w:lineRule="auto"/>
        <w:ind w:firstLine="708"/>
        <w:jc w:val="both"/>
        <w:rPr>
          <w:spacing w:val="-3"/>
        </w:rPr>
      </w:pPr>
      <w:r>
        <w:rPr>
          <w:spacing w:val="-3"/>
        </w:rPr>
        <w:t>El programa exige exponer los contratos aleatorios típicos regulados por el Código Civil, si bien el contrato aleatorio por excelencia, el de seguro, tiene naturaleza mercantil y está regulado por su propia Ley de 8 de octubre de 1980.</w:t>
      </w:r>
    </w:p>
    <w:p w14:paraId="106AAB24" w14:textId="6463F4AE" w:rsidR="00F54132" w:rsidRDefault="00F54132" w:rsidP="00F54132">
      <w:pPr>
        <w:spacing w:before="120" w:after="120" w:line="360" w:lineRule="auto"/>
        <w:ind w:firstLine="708"/>
        <w:jc w:val="both"/>
        <w:rPr>
          <w:spacing w:val="-3"/>
        </w:rPr>
      </w:pPr>
      <w:r>
        <w:rPr>
          <w:spacing w:val="-3"/>
        </w:rPr>
        <w:t>Además, la autonomía de la voluntad permite configurar otr</w:t>
      </w:r>
      <w:r w:rsidR="00D76CB6">
        <w:rPr>
          <w:spacing w:val="-3"/>
        </w:rPr>
        <w:t>o</w:t>
      </w:r>
      <w:r>
        <w:rPr>
          <w:spacing w:val="-3"/>
        </w:rPr>
        <w:t xml:space="preserve">s contratos como aleatorios, como ocurre con la </w:t>
      </w:r>
      <w:r w:rsidRPr="004768FB">
        <w:rPr>
          <w:i/>
          <w:iCs/>
          <w:spacing w:val="-3"/>
        </w:rPr>
        <w:t>emptio spei</w:t>
      </w:r>
      <w:r>
        <w:rPr>
          <w:spacing w:val="-3"/>
        </w:rPr>
        <w:t xml:space="preserve"> o compraventa de esperanza o el contrato de mediación o corretaje.</w:t>
      </w:r>
    </w:p>
    <w:p w14:paraId="4DB0D731" w14:textId="143C5CFA" w:rsidR="005F485E" w:rsidRDefault="005F485E" w:rsidP="00FC2821">
      <w:pPr>
        <w:spacing w:before="120" w:after="120" w:line="360" w:lineRule="auto"/>
        <w:ind w:firstLine="708"/>
        <w:jc w:val="both"/>
        <w:rPr>
          <w:spacing w:val="-3"/>
        </w:rPr>
      </w:pPr>
    </w:p>
    <w:p w14:paraId="6AC7A50E" w14:textId="2C21C278" w:rsidR="005F485E" w:rsidRDefault="00F54132" w:rsidP="00F54132">
      <w:pPr>
        <w:spacing w:before="120" w:after="120" w:line="360" w:lineRule="auto"/>
        <w:jc w:val="both"/>
        <w:rPr>
          <w:spacing w:val="-3"/>
        </w:rPr>
      </w:pPr>
      <w:r w:rsidRPr="005F485E">
        <w:rPr>
          <w:b/>
          <w:bCs/>
          <w:color w:val="000000"/>
        </w:rPr>
        <w:t>EL CONTRATO DE ALIMENTOS</w:t>
      </w:r>
      <w:r w:rsidRPr="007A7D37">
        <w:rPr>
          <w:b/>
          <w:bCs/>
          <w:color w:val="000000"/>
        </w:rPr>
        <w:t>.</w:t>
      </w:r>
    </w:p>
    <w:p w14:paraId="26898B28" w14:textId="5F1F47D9" w:rsidR="004768FB" w:rsidRPr="004768FB" w:rsidRDefault="004768FB" w:rsidP="004768FB">
      <w:pPr>
        <w:spacing w:before="120" w:after="120" w:line="360" w:lineRule="auto"/>
        <w:ind w:firstLine="708"/>
        <w:jc w:val="both"/>
        <w:rPr>
          <w:spacing w:val="-3"/>
        </w:rPr>
      </w:pPr>
      <w:r>
        <w:rPr>
          <w:spacing w:val="-3"/>
        </w:rPr>
        <w:t>La regulación del contrato de alimentos fue introducida en el Código Civil por la Ley de Protección Patrimonial de las Personas con Discapacidad de 18 de noviembre de 2013, partiendo de la construcción doctrinal y jurisprudencial del llamado contrato de vitalicio.</w:t>
      </w:r>
    </w:p>
    <w:p w14:paraId="64727E25" w14:textId="4A1A2069" w:rsidR="004768FB" w:rsidRDefault="004768FB" w:rsidP="004768FB">
      <w:pPr>
        <w:spacing w:before="120" w:after="120" w:line="360" w:lineRule="auto"/>
        <w:ind w:firstLine="708"/>
        <w:jc w:val="both"/>
        <w:rPr>
          <w:spacing w:val="-3"/>
        </w:rPr>
      </w:pPr>
      <w:r>
        <w:rPr>
          <w:spacing w:val="-3"/>
        </w:rPr>
        <w:lastRenderedPageBreak/>
        <w:t xml:space="preserve">Los preceptos </w:t>
      </w:r>
      <w:r w:rsidR="00DF043B">
        <w:rPr>
          <w:spacing w:val="-3"/>
        </w:rPr>
        <w:t xml:space="preserve">del Código Civil </w:t>
      </w:r>
      <w:r>
        <w:rPr>
          <w:spacing w:val="-3"/>
        </w:rPr>
        <w:t xml:space="preserve">que </w:t>
      </w:r>
      <w:r w:rsidR="00DF043B">
        <w:rPr>
          <w:spacing w:val="-3"/>
        </w:rPr>
        <w:t xml:space="preserve">lo </w:t>
      </w:r>
      <w:r>
        <w:rPr>
          <w:spacing w:val="-3"/>
        </w:rPr>
        <w:t>regulan son los siguientes:</w:t>
      </w:r>
    </w:p>
    <w:p w14:paraId="05AC51E8" w14:textId="1E2D8D0F" w:rsidR="004768FB" w:rsidRPr="00DF043B" w:rsidRDefault="004768FB" w:rsidP="00DF043B">
      <w:pPr>
        <w:pStyle w:val="Prrafodelista"/>
        <w:numPr>
          <w:ilvl w:val="0"/>
          <w:numId w:val="24"/>
        </w:numPr>
        <w:spacing w:before="120" w:after="120" w:line="360" w:lineRule="auto"/>
        <w:ind w:left="993" w:hanging="284"/>
        <w:jc w:val="both"/>
        <w:rPr>
          <w:spacing w:val="-3"/>
        </w:rPr>
      </w:pPr>
      <w:r w:rsidRPr="00DF043B">
        <w:rPr>
          <w:spacing w:val="-3"/>
        </w:rPr>
        <w:t>El artículo 1791, que dispone que “por el contrato de alimentos una de las partes se obliga a proporcionar vivienda, manutención y asistencia de todo tipo a una persona durante su vida, a cambio de la transmisión de un capital en cualquier clase de bienes y derechos”.</w:t>
      </w:r>
    </w:p>
    <w:p w14:paraId="1F731773" w14:textId="7723605D" w:rsidR="004768FB" w:rsidRPr="00DF043B" w:rsidRDefault="004768FB" w:rsidP="00DF043B">
      <w:pPr>
        <w:pStyle w:val="Prrafodelista"/>
        <w:numPr>
          <w:ilvl w:val="0"/>
          <w:numId w:val="24"/>
        </w:numPr>
        <w:spacing w:before="120" w:after="120" w:line="360" w:lineRule="auto"/>
        <w:ind w:left="993" w:hanging="284"/>
        <w:jc w:val="both"/>
        <w:rPr>
          <w:spacing w:val="-3"/>
        </w:rPr>
      </w:pPr>
      <w:r w:rsidRPr="00DF043B">
        <w:rPr>
          <w:spacing w:val="-3"/>
        </w:rPr>
        <w:t>El artículo 1792, que dispone que “de producirse la muerte del obligado a prestar los alimentos o de concurrir cualquier circunstancia grave que impida la pacífica convivencia de las partes, cualquiera de ellas podrá pedir que la prestación de alimentos convenida se pague mediante la pensión actualizable a satisfacer por plazos anticipados que para esos eventos hubiere sido prevista en el contrato o, de no haber sido prevista, mediante la que se fije judicialmente”.</w:t>
      </w:r>
    </w:p>
    <w:p w14:paraId="38B17252" w14:textId="66384E50" w:rsidR="004768FB" w:rsidRPr="00DF043B" w:rsidRDefault="004768FB" w:rsidP="00DF043B">
      <w:pPr>
        <w:pStyle w:val="Prrafodelista"/>
        <w:numPr>
          <w:ilvl w:val="0"/>
          <w:numId w:val="24"/>
        </w:numPr>
        <w:spacing w:before="120" w:after="120" w:line="360" w:lineRule="auto"/>
        <w:ind w:left="993" w:hanging="284"/>
        <w:jc w:val="both"/>
        <w:rPr>
          <w:spacing w:val="-3"/>
        </w:rPr>
      </w:pPr>
      <w:r w:rsidRPr="00DF043B">
        <w:rPr>
          <w:spacing w:val="-3"/>
        </w:rPr>
        <w:t>El artículo 1793, que dispone que “la extensión y calidad de la prestación de alimentos serán las que resulten del contrato y, a falta de pacto en contrario, no dependerá de las vicisitudes del caudal y necesidades del obligado ni de las del caudal de quien los recibe”.</w:t>
      </w:r>
    </w:p>
    <w:p w14:paraId="4014F53F" w14:textId="66D8FA5E" w:rsidR="004768FB" w:rsidRPr="00DF043B" w:rsidRDefault="004768FB" w:rsidP="00DF043B">
      <w:pPr>
        <w:pStyle w:val="Prrafodelista"/>
        <w:numPr>
          <w:ilvl w:val="0"/>
          <w:numId w:val="24"/>
        </w:numPr>
        <w:spacing w:before="120" w:after="120" w:line="360" w:lineRule="auto"/>
        <w:ind w:left="993" w:hanging="284"/>
        <w:jc w:val="both"/>
        <w:rPr>
          <w:spacing w:val="-3"/>
        </w:rPr>
      </w:pPr>
      <w:r w:rsidRPr="00DF043B">
        <w:rPr>
          <w:spacing w:val="-3"/>
        </w:rPr>
        <w:t>El artículo 1794, que dispone que la obligación contractual de dar alimentos no cesará por las causas de extinción de la obligación legal de alimentos previstas en el artículo 152, salvo la muerte del alimentista.</w:t>
      </w:r>
    </w:p>
    <w:p w14:paraId="57AF57EE" w14:textId="381F2A00" w:rsidR="004768FB" w:rsidRPr="00DF043B" w:rsidRDefault="004768FB" w:rsidP="00DF043B">
      <w:pPr>
        <w:pStyle w:val="Prrafodelista"/>
        <w:numPr>
          <w:ilvl w:val="0"/>
          <w:numId w:val="24"/>
        </w:numPr>
        <w:spacing w:before="120" w:after="120" w:line="360" w:lineRule="auto"/>
        <w:ind w:left="993" w:hanging="284"/>
        <w:jc w:val="both"/>
        <w:rPr>
          <w:spacing w:val="-3"/>
        </w:rPr>
      </w:pPr>
      <w:r w:rsidRPr="00DF043B">
        <w:rPr>
          <w:spacing w:val="-3"/>
        </w:rPr>
        <w:t>El artículo 1795, que dispone que “el incumplimiento de la obligación de alimentos dará derecho al alimentista sin perjuicio de lo dispuesto en el artículo 1792, para optar entre exigir el cumplimiento, incluyendo el abono de los devengados con anterioridad a la demanda, o la resolución del contrato, con aplicación, en ambos casos, de las reglas generales de las obligaciones recíprocas.</w:t>
      </w:r>
    </w:p>
    <w:p w14:paraId="7CCD1781" w14:textId="1D29286C" w:rsidR="004768FB" w:rsidRPr="00DF043B" w:rsidRDefault="004768FB" w:rsidP="00D76CB6">
      <w:pPr>
        <w:pStyle w:val="Prrafodelista"/>
        <w:spacing w:before="120" w:after="120" w:line="360" w:lineRule="auto"/>
        <w:ind w:left="993" w:firstLine="283"/>
        <w:jc w:val="both"/>
        <w:rPr>
          <w:spacing w:val="-3"/>
        </w:rPr>
      </w:pPr>
      <w:r w:rsidRPr="00DF043B">
        <w:rPr>
          <w:spacing w:val="-3"/>
        </w:rPr>
        <w:t>En caso de que el alimentista opte por la resolución, el deudor de los alimentos deberá restituir inmediatamente los bienes que recibió por el contrato, y, en cambio, el juez podrá, en atención a las circunstancias, acordar que la restitución que, con respeto de lo que dispone el artículo siguiente, corresponda al alimentista quede total o parcialmente aplazada, en su beneficio, por el tiempo y con las garantías que se determinen”.</w:t>
      </w:r>
    </w:p>
    <w:p w14:paraId="01632716" w14:textId="6AF1F8F4" w:rsidR="005F485E" w:rsidRPr="00DF043B" w:rsidRDefault="004768FB" w:rsidP="00DF043B">
      <w:pPr>
        <w:pStyle w:val="Prrafodelista"/>
        <w:numPr>
          <w:ilvl w:val="0"/>
          <w:numId w:val="24"/>
        </w:numPr>
        <w:spacing w:before="120" w:after="120" w:line="360" w:lineRule="auto"/>
        <w:ind w:left="993" w:hanging="284"/>
        <w:jc w:val="both"/>
        <w:rPr>
          <w:spacing w:val="-3"/>
        </w:rPr>
      </w:pPr>
      <w:r w:rsidRPr="00DF043B">
        <w:rPr>
          <w:spacing w:val="-3"/>
        </w:rPr>
        <w:t>El artículo 1796, que dispone que “de las consecuencias de la resolución del contrato, habrá de resultar para el alimentista, cuando menos, un superávit suficiente para constituir, de nuevo, una pensión análoga por el tiempo que le quede de vida”.</w:t>
      </w:r>
    </w:p>
    <w:p w14:paraId="324ABC54" w14:textId="79FF6518" w:rsidR="005F485E" w:rsidRPr="00DF043B" w:rsidRDefault="004768FB" w:rsidP="00DF043B">
      <w:pPr>
        <w:pStyle w:val="Prrafodelista"/>
        <w:numPr>
          <w:ilvl w:val="0"/>
          <w:numId w:val="24"/>
        </w:numPr>
        <w:spacing w:before="120" w:after="120" w:line="360" w:lineRule="auto"/>
        <w:ind w:left="993" w:hanging="284"/>
        <w:jc w:val="both"/>
        <w:rPr>
          <w:spacing w:val="-3"/>
        </w:rPr>
      </w:pPr>
      <w:r w:rsidRPr="00DF043B">
        <w:rPr>
          <w:spacing w:val="-3"/>
        </w:rPr>
        <w:lastRenderedPageBreak/>
        <w:t>El artículo 1797, que dispone que “cuando los bienes o derechos que se transmitan a cambio de los alimentos sean registrables, podrá garantizarse frente a terceros el derecho del alimentista con el pacto inscrito en el que se dé a la falta de pago el carácter de condición resolutoria explícita, además de mediante el derecho de hipoteca</w:t>
      </w:r>
      <w:r w:rsidR="00DF043B" w:rsidRPr="00DF043B">
        <w:rPr>
          <w:spacing w:val="-3"/>
        </w:rPr>
        <w:t>”</w:t>
      </w:r>
      <w:r w:rsidRPr="00DF043B">
        <w:rPr>
          <w:spacing w:val="-3"/>
        </w:rPr>
        <w:t xml:space="preserve"> </w:t>
      </w:r>
      <w:r w:rsidR="00DF043B" w:rsidRPr="00DF043B">
        <w:rPr>
          <w:spacing w:val="-3"/>
        </w:rPr>
        <w:t>en garantía de renta o prestación periódica, conforme al</w:t>
      </w:r>
      <w:r w:rsidRPr="00DF043B">
        <w:rPr>
          <w:spacing w:val="-3"/>
        </w:rPr>
        <w:t xml:space="preserve"> artículo 157 de la Ley Hipotecaria</w:t>
      </w:r>
      <w:r w:rsidR="00DF043B" w:rsidRPr="00DF043B">
        <w:rPr>
          <w:spacing w:val="-3"/>
        </w:rPr>
        <w:t xml:space="preserve"> de 8 de febrero de 1946</w:t>
      </w:r>
      <w:r w:rsidRPr="00DF043B">
        <w:rPr>
          <w:spacing w:val="-3"/>
        </w:rPr>
        <w:t>.</w:t>
      </w:r>
    </w:p>
    <w:p w14:paraId="283AF7AE" w14:textId="793C93AB" w:rsidR="005F485E" w:rsidRDefault="005F485E" w:rsidP="00FC2821">
      <w:pPr>
        <w:spacing w:before="120" w:after="120" w:line="360" w:lineRule="auto"/>
        <w:ind w:firstLine="708"/>
        <w:jc w:val="both"/>
        <w:rPr>
          <w:spacing w:val="-3"/>
        </w:rPr>
      </w:pPr>
    </w:p>
    <w:p w14:paraId="23F9EF93" w14:textId="4A6019B7" w:rsidR="005F485E" w:rsidRDefault="00DF043B" w:rsidP="00DF043B">
      <w:pPr>
        <w:spacing w:before="120" w:after="120" w:line="360" w:lineRule="auto"/>
        <w:jc w:val="both"/>
        <w:rPr>
          <w:spacing w:val="-3"/>
        </w:rPr>
      </w:pPr>
      <w:r w:rsidRPr="00DF043B">
        <w:rPr>
          <w:b/>
          <w:bCs/>
          <w:spacing w:val="-3"/>
        </w:rPr>
        <w:t>EL JUEGO Y LA APUESTA.</w:t>
      </w:r>
    </w:p>
    <w:p w14:paraId="58A92253" w14:textId="1C6AB6F7" w:rsidR="00DF043B" w:rsidRDefault="00DF043B" w:rsidP="00DF043B">
      <w:pPr>
        <w:spacing w:before="120" w:after="120" w:line="360" w:lineRule="auto"/>
        <w:ind w:firstLine="708"/>
        <w:jc w:val="both"/>
        <w:rPr>
          <w:spacing w:val="-3"/>
        </w:rPr>
      </w:pPr>
      <w:r w:rsidRPr="00DF043B">
        <w:rPr>
          <w:spacing w:val="-3"/>
        </w:rPr>
        <w:t>En el</w:t>
      </w:r>
      <w:r>
        <w:rPr>
          <w:spacing w:val="-3"/>
        </w:rPr>
        <w:t xml:space="preserve"> juego, dos o más </w:t>
      </w:r>
      <w:r w:rsidRPr="00DF043B">
        <w:rPr>
          <w:spacing w:val="-3"/>
        </w:rPr>
        <w:t>personas convienen pagar, las que pierden a las que ganan, determinada cantidad.</w:t>
      </w:r>
      <w:r>
        <w:rPr>
          <w:spacing w:val="-3"/>
        </w:rPr>
        <w:t xml:space="preserve"> </w:t>
      </w:r>
      <w:r w:rsidRPr="00DF043B">
        <w:rPr>
          <w:spacing w:val="-3"/>
        </w:rPr>
        <w:t xml:space="preserve">En la </w:t>
      </w:r>
      <w:r>
        <w:rPr>
          <w:spacing w:val="-3"/>
        </w:rPr>
        <w:t>apuesta</w:t>
      </w:r>
      <w:r w:rsidRPr="00DF043B">
        <w:rPr>
          <w:spacing w:val="-3"/>
        </w:rPr>
        <w:t xml:space="preserve">, las personas que tienen un concepto distinto de un suceso futuro o pasado pero </w:t>
      </w:r>
      <w:r>
        <w:rPr>
          <w:spacing w:val="-3"/>
        </w:rPr>
        <w:t>desconocido</w:t>
      </w:r>
      <w:r w:rsidRPr="00DF043B">
        <w:rPr>
          <w:spacing w:val="-3"/>
        </w:rPr>
        <w:t>, se comprometen a entregar una cantidad unas a otras según se realice o no dicho suceso</w:t>
      </w:r>
      <w:r>
        <w:rPr>
          <w:spacing w:val="-3"/>
        </w:rPr>
        <w:t>.</w:t>
      </w:r>
    </w:p>
    <w:p w14:paraId="5D7DEA01" w14:textId="606ED61A" w:rsidR="00DF043B" w:rsidRDefault="00DF043B" w:rsidP="00DF043B">
      <w:pPr>
        <w:spacing w:before="120" w:after="120" w:line="360" w:lineRule="auto"/>
        <w:ind w:firstLine="708"/>
        <w:jc w:val="both"/>
        <w:rPr>
          <w:spacing w:val="-3"/>
        </w:rPr>
      </w:pPr>
      <w:r>
        <w:rPr>
          <w:spacing w:val="-3"/>
        </w:rPr>
        <w:t xml:space="preserve">Los preceptos </w:t>
      </w:r>
      <w:r w:rsidR="00C71130">
        <w:rPr>
          <w:spacing w:val="-3"/>
        </w:rPr>
        <w:t xml:space="preserve">del Código Civil </w:t>
      </w:r>
      <w:r>
        <w:rPr>
          <w:spacing w:val="-3"/>
        </w:rPr>
        <w:t>que los regulan son los siguientes:</w:t>
      </w:r>
    </w:p>
    <w:p w14:paraId="7DC9396B" w14:textId="1306790E" w:rsidR="00DF043B" w:rsidRPr="00DF043B" w:rsidRDefault="00DF043B" w:rsidP="00DF043B">
      <w:pPr>
        <w:pStyle w:val="Prrafodelista"/>
        <w:numPr>
          <w:ilvl w:val="0"/>
          <w:numId w:val="25"/>
        </w:numPr>
        <w:spacing w:before="120" w:after="120" w:line="360" w:lineRule="auto"/>
        <w:ind w:left="993" w:hanging="284"/>
        <w:jc w:val="both"/>
        <w:rPr>
          <w:spacing w:val="-3"/>
        </w:rPr>
      </w:pPr>
      <w:r w:rsidRPr="00DF043B">
        <w:rPr>
          <w:spacing w:val="-3"/>
        </w:rPr>
        <w:t>El artículo 1798, que dispone que “la ley no concede acción para reclamar lo que se gana en un juego de suerte, envite o azar; pero el que pierde no puede repetir lo que haya pagado voluntariamente, a no ser que hubiese mediado dolo, o que fuera menor, o estuviera inhabilitado para administrar sus bienes”.</w:t>
      </w:r>
    </w:p>
    <w:p w14:paraId="42B36C83" w14:textId="1AAAF5C4" w:rsidR="00DF043B" w:rsidRPr="00DF043B" w:rsidRDefault="00DF043B" w:rsidP="00DF043B">
      <w:pPr>
        <w:pStyle w:val="Prrafodelista"/>
        <w:numPr>
          <w:ilvl w:val="0"/>
          <w:numId w:val="25"/>
        </w:numPr>
        <w:spacing w:before="120" w:after="120" w:line="360" w:lineRule="auto"/>
        <w:ind w:left="993" w:hanging="284"/>
        <w:jc w:val="both"/>
        <w:rPr>
          <w:spacing w:val="-3"/>
        </w:rPr>
      </w:pPr>
      <w:r w:rsidRPr="00DF043B">
        <w:rPr>
          <w:spacing w:val="-3"/>
        </w:rPr>
        <w:t>El artículo 1799, que dispone que “lo dispuesto en el artículo anterior respecto del juego es aplicable a las apuestas. Se consideran prohibidas las apuestas que tienen analogía con los juegos prohibidos”.</w:t>
      </w:r>
    </w:p>
    <w:p w14:paraId="2F04A873" w14:textId="32F7643A" w:rsidR="00DF043B" w:rsidRPr="00DF043B" w:rsidRDefault="00DF043B" w:rsidP="00DF043B">
      <w:pPr>
        <w:pStyle w:val="Prrafodelista"/>
        <w:numPr>
          <w:ilvl w:val="0"/>
          <w:numId w:val="25"/>
        </w:numPr>
        <w:spacing w:before="120" w:after="120" w:line="360" w:lineRule="auto"/>
        <w:ind w:left="993" w:hanging="284"/>
        <w:jc w:val="both"/>
        <w:rPr>
          <w:spacing w:val="-3"/>
        </w:rPr>
      </w:pPr>
      <w:r w:rsidRPr="00DF043B">
        <w:rPr>
          <w:spacing w:val="-3"/>
        </w:rPr>
        <w:t>El artículo 1800, que dispone que “no se consideran prohibidos los juegos que contribuyen al ejercicio del cuerpo, como son los que tienen por objeto adiestrarse en el manejo de las armas, las carreras a pie o a caballo, las de carros, el juego de pelota y otros de análoga naturaleza”.</w:t>
      </w:r>
    </w:p>
    <w:p w14:paraId="354E3472" w14:textId="58A3903E" w:rsidR="005F485E" w:rsidRPr="00DF043B" w:rsidRDefault="00DF043B" w:rsidP="00DF043B">
      <w:pPr>
        <w:pStyle w:val="Prrafodelista"/>
        <w:numPr>
          <w:ilvl w:val="0"/>
          <w:numId w:val="25"/>
        </w:numPr>
        <w:spacing w:before="120" w:after="120" w:line="360" w:lineRule="auto"/>
        <w:ind w:left="993" w:hanging="284"/>
        <w:jc w:val="both"/>
        <w:rPr>
          <w:spacing w:val="-3"/>
        </w:rPr>
      </w:pPr>
      <w:r w:rsidRPr="00DF043B">
        <w:rPr>
          <w:spacing w:val="-3"/>
        </w:rPr>
        <w:t>El artículo 1801, que dispone que “el que pierde en un juego o apuesta de los no prohibidos queda obligado civilmente. La autoridad judicial puede, sin embargo, no estimar la demanda cuando la cantidad que se cruzó en el juego o en la apuesta sea excesiva, o reducir la obligación en lo que excediere de los usos de un buen padre de familia”.</w:t>
      </w:r>
    </w:p>
    <w:p w14:paraId="45B49EE5" w14:textId="3D40863E" w:rsidR="005F485E" w:rsidRDefault="005F485E" w:rsidP="00FC2821">
      <w:pPr>
        <w:spacing w:before="120" w:after="120" w:line="360" w:lineRule="auto"/>
        <w:ind w:firstLine="708"/>
        <w:jc w:val="both"/>
        <w:rPr>
          <w:spacing w:val="-3"/>
        </w:rPr>
      </w:pPr>
    </w:p>
    <w:p w14:paraId="6F6AC433" w14:textId="15C10BFB" w:rsidR="005F485E" w:rsidRDefault="005F485E" w:rsidP="00FC2821">
      <w:pPr>
        <w:spacing w:before="120" w:after="120" w:line="360" w:lineRule="auto"/>
        <w:ind w:firstLine="708"/>
        <w:jc w:val="both"/>
        <w:rPr>
          <w:spacing w:val="-3"/>
        </w:rPr>
      </w:pPr>
    </w:p>
    <w:p w14:paraId="29F55FFF" w14:textId="07C82BD4" w:rsidR="00DF043B" w:rsidRDefault="00DF043B" w:rsidP="00DF043B">
      <w:pPr>
        <w:spacing w:before="120" w:after="120" w:line="360" w:lineRule="auto"/>
        <w:jc w:val="both"/>
        <w:rPr>
          <w:spacing w:val="-3"/>
        </w:rPr>
      </w:pPr>
      <w:r w:rsidRPr="00DF043B">
        <w:rPr>
          <w:b/>
          <w:bCs/>
          <w:spacing w:val="-3"/>
        </w:rPr>
        <w:lastRenderedPageBreak/>
        <w:t>LA RENTA VITALICIA.</w:t>
      </w:r>
    </w:p>
    <w:p w14:paraId="7155E04F" w14:textId="775D05D4" w:rsidR="00C71130" w:rsidRDefault="00C71130" w:rsidP="00C71130">
      <w:pPr>
        <w:spacing w:before="120" w:after="120" w:line="360" w:lineRule="auto"/>
        <w:ind w:firstLine="708"/>
        <w:jc w:val="both"/>
        <w:rPr>
          <w:spacing w:val="-3"/>
        </w:rPr>
      </w:pPr>
      <w:r>
        <w:rPr>
          <w:spacing w:val="-3"/>
        </w:rPr>
        <w:t>Dispone el a</w:t>
      </w:r>
      <w:r w:rsidRPr="00C71130">
        <w:rPr>
          <w:spacing w:val="-3"/>
        </w:rPr>
        <w:t>rtículo 1802</w:t>
      </w:r>
      <w:r>
        <w:rPr>
          <w:spacing w:val="-3"/>
        </w:rPr>
        <w:t xml:space="preserve"> del Código Civil que “e</w:t>
      </w:r>
      <w:r w:rsidRPr="00C71130">
        <w:rPr>
          <w:spacing w:val="-3"/>
        </w:rPr>
        <w:t>l contrato aleatorio de renta vitalicia obliga al deudor a pagar una pensión o rédito anual durante la vida de una o más personas determinadas por un capital en bienes muebles o inmuebles, cuyo dominio se le transfiere desde luego con la carga de la pensión</w:t>
      </w:r>
      <w:r>
        <w:rPr>
          <w:spacing w:val="-3"/>
        </w:rPr>
        <w:t>”</w:t>
      </w:r>
      <w:r w:rsidRPr="00C71130">
        <w:rPr>
          <w:spacing w:val="-3"/>
        </w:rPr>
        <w:t>.</w:t>
      </w:r>
    </w:p>
    <w:p w14:paraId="318A325D" w14:textId="7F3F121B" w:rsidR="00C71130" w:rsidRDefault="00C71130" w:rsidP="00C71130">
      <w:pPr>
        <w:spacing w:before="120" w:after="120" w:line="360" w:lineRule="auto"/>
        <w:ind w:firstLine="708"/>
        <w:jc w:val="both"/>
        <w:rPr>
          <w:spacing w:val="-3"/>
        </w:rPr>
      </w:pPr>
      <w:r w:rsidRPr="00C71130">
        <w:rPr>
          <w:spacing w:val="-3"/>
        </w:rPr>
        <w:t>El pensionista puede ser persona distinta del que transfiere el capital, en cuyo caso</w:t>
      </w:r>
      <w:r>
        <w:rPr>
          <w:spacing w:val="-3"/>
        </w:rPr>
        <w:t xml:space="preserve"> estaríamos ante una</w:t>
      </w:r>
      <w:r w:rsidRPr="00C71130">
        <w:rPr>
          <w:spacing w:val="-3"/>
        </w:rPr>
        <w:t xml:space="preserve"> estipulación en favor de tercero</w:t>
      </w:r>
      <w:r>
        <w:rPr>
          <w:spacing w:val="-3"/>
        </w:rPr>
        <w:t>.</w:t>
      </w:r>
    </w:p>
    <w:p w14:paraId="0CC5F183" w14:textId="4DF455BE" w:rsidR="00C71130" w:rsidRDefault="00C71130" w:rsidP="00C71130">
      <w:pPr>
        <w:spacing w:before="120" w:after="120" w:line="360" w:lineRule="auto"/>
        <w:ind w:firstLine="708"/>
        <w:jc w:val="both"/>
        <w:rPr>
          <w:spacing w:val="-3"/>
        </w:rPr>
      </w:pPr>
      <w:r>
        <w:rPr>
          <w:spacing w:val="-3"/>
        </w:rPr>
        <w:t>Los preceptos del Código Civil que la regulan son los siguientes:</w:t>
      </w:r>
    </w:p>
    <w:p w14:paraId="249ED1FD" w14:textId="6B197FE7" w:rsidR="00C71130" w:rsidRPr="00C71130" w:rsidRDefault="00C71130" w:rsidP="00C71130">
      <w:pPr>
        <w:pStyle w:val="Prrafodelista"/>
        <w:numPr>
          <w:ilvl w:val="0"/>
          <w:numId w:val="26"/>
        </w:numPr>
        <w:spacing w:before="120" w:after="120" w:line="360" w:lineRule="auto"/>
        <w:ind w:left="993" w:hanging="284"/>
        <w:jc w:val="both"/>
        <w:rPr>
          <w:spacing w:val="-3"/>
        </w:rPr>
      </w:pPr>
      <w:r w:rsidRPr="00C71130">
        <w:rPr>
          <w:spacing w:val="-3"/>
        </w:rPr>
        <w:t>El artículo 1803, que dispone que “puede constituirse la renta sobre la vida del que da el capital, sobre la de un tercero o sobre la de varias personas. También puede constituirse a favor de aquella o aquellas personas sobre cuya vida se otorga, o a favor de otra u otras personas distintas”.</w:t>
      </w:r>
    </w:p>
    <w:p w14:paraId="714CF84E" w14:textId="629A47D9" w:rsidR="00C71130" w:rsidRPr="00C71130" w:rsidRDefault="00C71130" w:rsidP="00C71130">
      <w:pPr>
        <w:pStyle w:val="Prrafodelista"/>
        <w:numPr>
          <w:ilvl w:val="0"/>
          <w:numId w:val="26"/>
        </w:numPr>
        <w:spacing w:before="120" w:after="120" w:line="360" w:lineRule="auto"/>
        <w:ind w:left="993" w:hanging="284"/>
        <w:jc w:val="both"/>
        <w:rPr>
          <w:spacing w:val="-3"/>
        </w:rPr>
      </w:pPr>
      <w:r w:rsidRPr="00C71130">
        <w:rPr>
          <w:spacing w:val="-3"/>
        </w:rPr>
        <w:t>El artículo 1804, que dispone que “es nula la renta constituida sobre la vida de una persona muerta a la fecha del otorgamiento, o que en el mismo tiempo se halle padeciendo una enfermedad que llegue a causar su muerte dentro de los veinte días siguientes a aquella fecha”.</w:t>
      </w:r>
    </w:p>
    <w:p w14:paraId="5BC3AC8A" w14:textId="61FCBCEB" w:rsidR="00C71130" w:rsidRPr="00C71130" w:rsidRDefault="00C71130" w:rsidP="00C71130">
      <w:pPr>
        <w:pStyle w:val="Prrafodelista"/>
        <w:numPr>
          <w:ilvl w:val="0"/>
          <w:numId w:val="26"/>
        </w:numPr>
        <w:spacing w:before="120" w:after="120" w:line="360" w:lineRule="auto"/>
        <w:ind w:left="993" w:hanging="284"/>
        <w:jc w:val="both"/>
        <w:rPr>
          <w:spacing w:val="-3"/>
        </w:rPr>
      </w:pPr>
      <w:r w:rsidRPr="00C71130">
        <w:rPr>
          <w:spacing w:val="-3"/>
        </w:rPr>
        <w:t>El artículo 1805, que dispone que “la falta de pago de las pensiones vencidas no autoriza al perceptor de la renta vitalicia a exigir el reembolso del capital ni a volver a entrar en la posesión del predio enajenado; sólo tendrá derecho a reclamar judicialmente el pago de las rentas atrasadas y el aseguramiento de las futuras”.</w:t>
      </w:r>
    </w:p>
    <w:p w14:paraId="49A8DADE" w14:textId="12815A43" w:rsidR="00C71130" w:rsidRPr="00C71130" w:rsidRDefault="00C71130" w:rsidP="00C71130">
      <w:pPr>
        <w:pStyle w:val="Prrafodelista"/>
        <w:numPr>
          <w:ilvl w:val="0"/>
          <w:numId w:val="26"/>
        </w:numPr>
        <w:spacing w:before="120" w:after="120" w:line="360" w:lineRule="auto"/>
        <w:ind w:left="993" w:hanging="284"/>
        <w:jc w:val="both"/>
        <w:rPr>
          <w:spacing w:val="-3"/>
        </w:rPr>
      </w:pPr>
      <w:r w:rsidRPr="00C71130">
        <w:rPr>
          <w:spacing w:val="-3"/>
        </w:rPr>
        <w:t>El artículo 1806, que dispone que “la renta correspondiente al año en que muere el que la disfruta se pagará en proporción a los días que hubiese vivido; si debía satisfacerse por plazos anticipados, se pagará el importe total del plazo que durante su vida hubiese empezado a correr”.</w:t>
      </w:r>
    </w:p>
    <w:p w14:paraId="76FF26E8" w14:textId="4CBB84D1" w:rsidR="00C71130" w:rsidRPr="00C71130" w:rsidRDefault="00C71130" w:rsidP="00C71130">
      <w:pPr>
        <w:pStyle w:val="Prrafodelista"/>
        <w:numPr>
          <w:ilvl w:val="0"/>
          <w:numId w:val="26"/>
        </w:numPr>
        <w:spacing w:before="120" w:after="120" w:line="360" w:lineRule="auto"/>
        <w:ind w:left="993" w:hanging="284"/>
        <w:jc w:val="both"/>
        <w:rPr>
          <w:spacing w:val="-3"/>
        </w:rPr>
      </w:pPr>
      <w:r w:rsidRPr="00C71130">
        <w:rPr>
          <w:spacing w:val="-3"/>
        </w:rPr>
        <w:t>El artículo 1807, que dispone que “el que constituye a título gratuito una renta sobre sus bienes, puede disponer, al tiempo del otorgamiento, que no estará sujeta dicha renta a embargo por obligaciones del pensionista”.</w:t>
      </w:r>
    </w:p>
    <w:p w14:paraId="086933A3" w14:textId="096A5793" w:rsidR="005F485E" w:rsidRPr="00C71130" w:rsidRDefault="00C71130" w:rsidP="00C71130">
      <w:pPr>
        <w:pStyle w:val="Prrafodelista"/>
        <w:numPr>
          <w:ilvl w:val="0"/>
          <w:numId w:val="26"/>
        </w:numPr>
        <w:spacing w:before="120" w:after="120" w:line="360" w:lineRule="auto"/>
        <w:ind w:left="993" w:hanging="284"/>
        <w:jc w:val="both"/>
        <w:rPr>
          <w:spacing w:val="-3"/>
        </w:rPr>
      </w:pPr>
      <w:r w:rsidRPr="00C71130">
        <w:rPr>
          <w:spacing w:val="-3"/>
        </w:rPr>
        <w:t>El artículo 1808, que dispone que “no puede reclamarse la renta sin justificar la existencia de la persona sobre cuya vida esté constituida”.</w:t>
      </w:r>
    </w:p>
    <w:p w14:paraId="49DDB68A" w14:textId="59B0BB1A" w:rsidR="005F485E" w:rsidRDefault="005F485E" w:rsidP="00FC2821">
      <w:pPr>
        <w:spacing w:before="120" w:after="120" w:line="360" w:lineRule="auto"/>
        <w:ind w:firstLine="708"/>
        <w:jc w:val="both"/>
        <w:rPr>
          <w:spacing w:val="-3"/>
        </w:rPr>
      </w:pPr>
    </w:p>
    <w:p w14:paraId="6C06AEA8" w14:textId="5767578B" w:rsidR="005F485E" w:rsidRDefault="005F485E" w:rsidP="00FC2821">
      <w:pPr>
        <w:spacing w:before="120" w:after="120" w:line="360" w:lineRule="auto"/>
        <w:ind w:firstLine="708"/>
        <w:jc w:val="both"/>
        <w:rPr>
          <w:spacing w:val="-3"/>
        </w:rPr>
      </w:pPr>
    </w:p>
    <w:p w14:paraId="32965AB8" w14:textId="45295A78" w:rsidR="005F485E" w:rsidRDefault="00C71130" w:rsidP="00C71130">
      <w:pPr>
        <w:spacing w:before="120" w:after="120" w:line="360" w:lineRule="auto"/>
        <w:jc w:val="both"/>
        <w:rPr>
          <w:spacing w:val="-3"/>
        </w:rPr>
      </w:pPr>
      <w:r w:rsidRPr="00C71130">
        <w:rPr>
          <w:b/>
          <w:bCs/>
          <w:spacing w:val="-3"/>
        </w:rPr>
        <w:lastRenderedPageBreak/>
        <w:t>CONTRATO DE TRANSACCIÓN</w:t>
      </w:r>
      <w:r>
        <w:rPr>
          <w:b/>
          <w:bCs/>
          <w:spacing w:val="-3"/>
        </w:rPr>
        <w:t>.</w:t>
      </w:r>
    </w:p>
    <w:p w14:paraId="126FF59B" w14:textId="781750DE" w:rsidR="00C71130" w:rsidRPr="00C71130" w:rsidRDefault="00C71130" w:rsidP="00C71130">
      <w:pPr>
        <w:spacing w:before="120" w:after="120" w:line="360" w:lineRule="auto"/>
        <w:ind w:firstLine="708"/>
        <w:jc w:val="both"/>
        <w:rPr>
          <w:spacing w:val="-3"/>
        </w:rPr>
      </w:pPr>
      <w:r>
        <w:rPr>
          <w:spacing w:val="-3"/>
        </w:rPr>
        <w:t>Dispone el artículo 1809 del Código Civil que “l</w:t>
      </w:r>
      <w:r w:rsidRPr="00C71130">
        <w:rPr>
          <w:spacing w:val="-3"/>
        </w:rPr>
        <w:t>a transacción es un contrato por el cual las partes, dando, prometiendo o reteniendo cada una alguna cosa, evitan la provocación de un pleito o ponen término al que había comenzado”</w:t>
      </w:r>
      <w:r>
        <w:rPr>
          <w:spacing w:val="-3"/>
        </w:rPr>
        <w:t>.</w:t>
      </w:r>
    </w:p>
    <w:p w14:paraId="6C2DE989" w14:textId="5BCBBB5F" w:rsidR="00C71130" w:rsidRPr="00C71130" w:rsidRDefault="00C71130" w:rsidP="00C71130">
      <w:pPr>
        <w:spacing w:before="120" w:after="120" w:line="360" w:lineRule="auto"/>
        <w:ind w:firstLine="708"/>
        <w:jc w:val="both"/>
        <w:rPr>
          <w:spacing w:val="-3"/>
        </w:rPr>
      </w:pPr>
      <w:r>
        <w:rPr>
          <w:spacing w:val="-3"/>
        </w:rPr>
        <w:t>Por tanto, la transacción requiere:</w:t>
      </w:r>
    </w:p>
    <w:p w14:paraId="38652FBF" w14:textId="3D249560" w:rsidR="00C71130" w:rsidRPr="00CC67E4" w:rsidRDefault="00C71130" w:rsidP="00CC67E4">
      <w:pPr>
        <w:pStyle w:val="Prrafodelista"/>
        <w:numPr>
          <w:ilvl w:val="0"/>
          <w:numId w:val="27"/>
        </w:numPr>
        <w:spacing w:before="120" w:after="120" w:line="360" w:lineRule="auto"/>
        <w:ind w:left="993" w:hanging="284"/>
        <w:jc w:val="both"/>
        <w:rPr>
          <w:spacing w:val="-3"/>
        </w:rPr>
      </w:pPr>
      <w:r w:rsidRPr="00CC67E4">
        <w:rPr>
          <w:spacing w:val="-3"/>
        </w:rPr>
        <w:t>Que exista una situación de controversia actual entre las partes.</w:t>
      </w:r>
    </w:p>
    <w:p w14:paraId="2A6CFF55" w14:textId="6C966965" w:rsidR="00C71130" w:rsidRPr="00CC67E4" w:rsidRDefault="00C71130" w:rsidP="00CC67E4">
      <w:pPr>
        <w:pStyle w:val="Prrafodelista"/>
        <w:numPr>
          <w:ilvl w:val="0"/>
          <w:numId w:val="27"/>
        </w:numPr>
        <w:spacing w:before="120" w:after="120" w:line="360" w:lineRule="auto"/>
        <w:ind w:left="993" w:hanging="284"/>
        <w:jc w:val="both"/>
        <w:rPr>
          <w:spacing w:val="-3"/>
        </w:rPr>
      </w:pPr>
      <w:r w:rsidRPr="00CC67E4">
        <w:rPr>
          <w:spacing w:val="-3"/>
        </w:rPr>
        <w:t xml:space="preserve">Que </w:t>
      </w:r>
      <w:r w:rsidR="00B4528E" w:rsidRPr="00CC67E4">
        <w:rPr>
          <w:spacing w:val="-3"/>
        </w:rPr>
        <w:t xml:space="preserve">las partes </w:t>
      </w:r>
      <w:r w:rsidRPr="00CC67E4">
        <w:rPr>
          <w:spacing w:val="-3"/>
        </w:rPr>
        <w:t xml:space="preserve">acuerden </w:t>
      </w:r>
      <w:r w:rsidR="00B4528E" w:rsidRPr="00CC67E4">
        <w:rPr>
          <w:spacing w:val="-3"/>
        </w:rPr>
        <w:t>resolver tal controversia mediante</w:t>
      </w:r>
      <w:r w:rsidRPr="00CC67E4">
        <w:rPr>
          <w:spacing w:val="-3"/>
        </w:rPr>
        <w:t xml:space="preserve"> recíprocas concesiones</w:t>
      </w:r>
      <w:r w:rsidR="00B4528E" w:rsidRPr="00CC67E4">
        <w:rPr>
          <w:spacing w:val="-3"/>
        </w:rPr>
        <w:t xml:space="preserve">, que son </w:t>
      </w:r>
      <w:r w:rsidRPr="00CC67E4">
        <w:rPr>
          <w:spacing w:val="-3"/>
        </w:rPr>
        <w:t xml:space="preserve">sacrificios </w:t>
      </w:r>
      <w:r w:rsidR="00B4528E" w:rsidRPr="00CC67E4">
        <w:rPr>
          <w:spacing w:val="-3"/>
        </w:rPr>
        <w:t xml:space="preserve">parciales </w:t>
      </w:r>
      <w:r w:rsidRPr="00CC67E4">
        <w:rPr>
          <w:spacing w:val="-3"/>
        </w:rPr>
        <w:t>de l</w:t>
      </w:r>
      <w:r w:rsidR="00B4528E" w:rsidRPr="00CC67E4">
        <w:rPr>
          <w:spacing w:val="-3"/>
        </w:rPr>
        <w:t>os</w:t>
      </w:r>
      <w:r w:rsidRPr="00CC67E4">
        <w:rPr>
          <w:spacing w:val="-3"/>
        </w:rPr>
        <w:t xml:space="preserve"> derechos alegados por</w:t>
      </w:r>
      <w:r w:rsidR="00B4528E" w:rsidRPr="00CC67E4">
        <w:rPr>
          <w:spacing w:val="-3"/>
        </w:rPr>
        <w:t xml:space="preserve"> las partes</w:t>
      </w:r>
      <w:r w:rsidRPr="00CC67E4">
        <w:rPr>
          <w:spacing w:val="-3"/>
        </w:rPr>
        <w:t xml:space="preserve">, derechos que son inciertos en el sentido de que su existencia </w:t>
      </w:r>
      <w:r w:rsidR="00B4528E" w:rsidRPr="00CC67E4">
        <w:rPr>
          <w:spacing w:val="-3"/>
        </w:rPr>
        <w:t xml:space="preserve">está </w:t>
      </w:r>
      <w:r w:rsidRPr="00CC67E4">
        <w:rPr>
          <w:spacing w:val="-3"/>
        </w:rPr>
        <w:t>tan sólo afirmada por las partes</w:t>
      </w:r>
      <w:r w:rsidR="00D76CB6">
        <w:rPr>
          <w:spacing w:val="-3"/>
        </w:rPr>
        <w:t>,</w:t>
      </w:r>
      <w:r w:rsidR="00B4528E" w:rsidRPr="00CC67E4">
        <w:rPr>
          <w:spacing w:val="-3"/>
        </w:rPr>
        <w:t xml:space="preserve"> pero </w:t>
      </w:r>
      <w:r w:rsidR="00D76CB6">
        <w:rPr>
          <w:spacing w:val="-3"/>
        </w:rPr>
        <w:t>no ha</w:t>
      </w:r>
      <w:r w:rsidR="00B4528E" w:rsidRPr="00CC67E4">
        <w:rPr>
          <w:spacing w:val="-3"/>
        </w:rPr>
        <w:t xml:space="preserve"> sido reconocida judicialmente.</w:t>
      </w:r>
    </w:p>
    <w:p w14:paraId="21131F11" w14:textId="78257F3A" w:rsidR="00C71130" w:rsidRPr="00C71130" w:rsidRDefault="00B4528E" w:rsidP="00B4528E">
      <w:pPr>
        <w:spacing w:before="120" w:after="120" w:line="360" w:lineRule="auto"/>
        <w:ind w:firstLine="708"/>
        <w:jc w:val="both"/>
        <w:rPr>
          <w:spacing w:val="-3"/>
        </w:rPr>
      </w:pPr>
      <w:r>
        <w:rPr>
          <w:spacing w:val="-3"/>
        </w:rPr>
        <w:t xml:space="preserve">Para la generalidad de la doctrina, la </w:t>
      </w:r>
      <w:r w:rsidR="00C71130" w:rsidRPr="00C71130">
        <w:rPr>
          <w:spacing w:val="-3"/>
        </w:rPr>
        <w:t xml:space="preserve">transacción fija cuál es la verdadera situación jurídica entre las partes, pero no modifica ni innova la relación jurídica </w:t>
      </w:r>
      <w:r w:rsidR="00D76CB6">
        <w:rPr>
          <w:spacing w:val="-3"/>
        </w:rPr>
        <w:t>controvertida</w:t>
      </w:r>
      <w:r>
        <w:rPr>
          <w:spacing w:val="-3"/>
        </w:rPr>
        <w:t xml:space="preserve">, por lo que tiene </w:t>
      </w:r>
      <w:r w:rsidR="00C71130" w:rsidRPr="00C71130">
        <w:rPr>
          <w:spacing w:val="-3"/>
        </w:rPr>
        <w:t>una naturaleza declarativa</w:t>
      </w:r>
      <w:r>
        <w:rPr>
          <w:spacing w:val="-3"/>
        </w:rPr>
        <w:t xml:space="preserve">. No obstante, cuando </w:t>
      </w:r>
      <w:r w:rsidR="00C71130" w:rsidRPr="00C71130">
        <w:rPr>
          <w:spacing w:val="-3"/>
        </w:rPr>
        <w:t>por la transacción una de las partes queda obligada a realizar una prestación que no ha sido objeto de la controversia o se determina en poder de quién queda la cosa o el derecho, pero no a quién pertenecía con anterioridad, puede entonces hablarse de transacción traslativa.</w:t>
      </w:r>
    </w:p>
    <w:p w14:paraId="69E1B2FC" w14:textId="5C02D9C9" w:rsidR="00C71130" w:rsidRPr="00C71130" w:rsidRDefault="00B4528E" w:rsidP="00C71130">
      <w:pPr>
        <w:spacing w:before="120" w:after="120" w:line="360" w:lineRule="auto"/>
        <w:ind w:firstLine="708"/>
        <w:jc w:val="both"/>
        <w:rPr>
          <w:spacing w:val="-3"/>
        </w:rPr>
      </w:pPr>
      <w:r>
        <w:rPr>
          <w:spacing w:val="-3"/>
        </w:rPr>
        <w:t>La transacción puede ser judicial, con una finalidad extintiva del pleito ya comenzado, o extrajudicial, con una finalidad preventiva del pleito todavía no iniciado.</w:t>
      </w:r>
    </w:p>
    <w:p w14:paraId="16269127" w14:textId="675272BF" w:rsidR="00C71130" w:rsidRPr="00C71130" w:rsidRDefault="00B4528E" w:rsidP="00C71130">
      <w:pPr>
        <w:spacing w:before="120" w:after="120" w:line="360" w:lineRule="auto"/>
        <w:ind w:firstLine="708"/>
        <w:jc w:val="both"/>
        <w:rPr>
          <w:spacing w:val="-3"/>
        </w:rPr>
      </w:pPr>
      <w:r>
        <w:rPr>
          <w:spacing w:val="-3"/>
        </w:rPr>
        <w:t>El artículo 1816 del Código Civil dispone que “l</w:t>
      </w:r>
      <w:r w:rsidR="00C71130" w:rsidRPr="00C71130">
        <w:rPr>
          <w:spacing w:val="-3"/>
        </w:rPr>
        <w:t>a transacción tiene para las partes la autoridad de la cosa juzgada; pero no procederá la vía de apremio sino tratándose del cumplimiento de la transacción judicial”</w:t>
      </w:r>
      <w:r>
        <w:rPr>
          <w:spacing w:val="-3"/>
        </w:rPr>
        <w:t xml:space="preserve">, por lo que la transacción judicial es un </w:t>
      </w:r>
      <w:r w:rsidR="00C71130" w:rsidRPr="00C71130">
        <w:rPr>
          <w:spacing w:val="-3"/>
        </w:rPr>
        <w:t xml:space="preserve">acto procesal </w:t>
      </w:r>
      <w:r>
        <w:rPr>
          <w:spacing w:val="-3"/>
        </w:rPr>
        <w:t xml:space="preserve">que, conforme a la Ley de Enjuiciamiento Civil de 7 de enero de 2000, debe ser homologado por el tribunal que estuviera conociendo del litigio para </w:t>
      </w:r>
      <w:r w:rsidR="00706863">
        <w:rPr>
          <w:spacing w:val="-3"/>
        </w:rPr>
        <w:t>tener fuerza ejecutiva.</w:t>
      </w:r>
    </w:p>
    <w:p w14:paraId="4C9FD3D9" w14:textId="7947F059" w:rsidR="00CC67E4" w:rsidRPr="00746B17" w:rsidRDefault="00CC67E4" w:rsidP="00CC67E4">
      <w:pPr>
        <w:spacing w:before="120" w:after="120" w:line="360" w:lineRule="auto"/>
        <w:ind w:firstLine="708"/>
        <w:jc w:val="both"/>
        <w:rPr>
          <w:spacing w:val="-3"/>
        </w:rPr>
      </w:pPr>
      <w:r>
        <w:rPr>
          <w:spacing w:val="-3"/>
        </w:rPr>
        <w:t>Los elementos constitutivos de la transacción son los siguientes</w:t>
      </w:r>
      <w:r w:rsidRPr="00746B17">
        <w:rPr>
          <w:spacing w:val="-3"/>
        </w:rPr>
        <w:t>:</w:t>
      </w:r>
    </w:p>
    <w:p w14:paraId="1C04B344" w14:textId="228782F1" w:rsidR="00CC67E4" w:rsidRPr="00D61B24" w:rsidRDefault="00CC67E4" w:rsidP="00D61B24">
      <w:pPr>
        <w:pStyle w:val="Prrafodelista"/>
        <w:numPr>
          <w:ilvl w:val="0"/>
          <w:numId w:val="28"/>
        </w:numPr>
        <w:spacing w:before="120" w:after="120" w:line="360" w:lineRule="auto"/>
        <w:ind w:left="993" w:hanging="284"/>
        <w:jc w:val="both"/>
        <w:rPr>
          <w:spacing w:val="-3"/>
        </w:rPr>
      </w:pPr>
      <w:r w:rsidRPr="00D61B24">
        <w:rPr>
          <w:spacing w:val="-3"/>
        </w:rPr>
        <w:t>Los e</w:t>
      </w:r>
      <w:r w:rsidR="00C71130" w:rsidRPr="00D61B24">
        <w:rPr>
          <w:spacing w:val="-3"/>
        </w:rPr>
        <w:t>lementos personales</w:t>
      </w:r>
      <w:r w:rsidRPr="00D61B24">
        <w:rPr>
          <w:spacing w:val="-3"/>
        </w:rPr>
        <w:t xml:space="preserve"> son los </w:t>
      </w:r>
      <w:r w:rsidR="00C71130" w:rsidRPr="00D61B24">
        <w:rPr>
          <w:spacing w:val="-3"/>
        </w:rPr>
        <w:t xml:space="preserve">sujetos </w:t>
      </w:r>
      <w:r w:rsidRPr="00D61B24">
        <w:rPr>
          <w:spacing w:val="-3"/>
        </w:rPr>
        <w:t xml:space="preserve">de la relación jurídica controvertida, y su capacidad es la necesaria para ser titulares de tal relación jurídica, por lo que se requiere capacidad de disposición cuando la transacción se refiere a un negocio que rebasa los límites de los actos de administración. El principio </w:t>
      </w:r>
      <w:r w:rsidRPr="00D61B24">
        <w:rPr>
          <w:i/>
          <w:iCs/>
          <w:spacing w:val="-3"/>
        </w:rPr>
        <w:t>transigere est alienare</w:t>
      </w:r>
      <w:r w:rsidRPr="00D61B24">
        <w:rPr>
          <w:spacing w:val="-3"/>
        </w:rPr>
        <w:t xml:space="preserve"> es recogido por los siguientes preceptos del Código Civil:</w:t>
      </w:r>
    </w:p>
    <w:p w14:paraId="72D8BEE3" w14:textId="17AC0269" w:rsidR="00CC67E4" w:rsidRPr="00D61B24" w:rsidRDefault="00CC67E4" w:rsidP="00D61B24">
      <w:pPr>
        <w:pStyle w:val="Prrafodelista"/>
        <w:numPr>
          <w:ilvl w:val="0"/>
          <w:numId w:val="29"/>
        </w:numPr>
        <w:spacing w:before="120" w:after="120" w:line="360" w:lineRule="auto"/>
        <w:ind w:left="1276" w:hanging="283"/>
        <w:jc w:val="both"/>
        <w:rPr>
          <w:spacing w:val="-3"/>
        </w:rPr>
      </w:pPr>
      <w:r w:rsidRPr="00D61B24">
        <w:rPr>
          <w:spacing w:val="-3"/>
        </w:rPr>
        <w:lastRenderedPageBreak/>
        <w:t>El artículo 1810, que dispone que “para transigir sobre los bienes y derechos de los hijos bajo la patria potestad se aplicarán las mismas reglas que para enajenarlos”.</w:t>
      </w:r>
    </w:p>
    <w:p w14:paraId="64AE3D40" w14:textId="561CF765" w:rsidR="00CC67E4" w:rsidRPr="00D61B24" w:rsidRDefault="00CC67E4" w:rsidP="00D61B24">
      <w:pPr>
        <w:pStyle w:val="Prrafodelista"/>
        <w:numPr>
          <w:ilvl w:val="0"/>
          <w:numId w:val="29"/>
        </w:numPr>
        <w:spacing w:before="120" w:after="120" w:line="360" w:lineRule="auto"/>
        <w:ind w:left="1276" w:hanging="283"/>
        <w:jc w:val="both"/>
        <w:rPr>
          <w:spacing w:val="-3"/>
        </w:rPr>
      </w:pPr>
      <w:r w:rsidRPr="00D61B24">
        <w:rPr>
          <w:spacing w:val="-3"/>
        </w:rPr>
        <w:t>El artículo 1811, que dispone que “el tutor y el curador con facultades de representación necesitarán autorización judicial para transigir sobre cuestiones relativas a los intereses de la persona cuya representación ostentan, salvo que se trate de asuntos de escasa relevancia económica</w:t>
      </w:r>
      <w:r w:rsidR="009F5C76">
        <w:rPr>
          <w:spacing w:val="-3"/>
        </w:rPr>
        <w:t>”</w:t>
      </w:r>
      <w:r w:rsidRPr="00D61B24">
        <w:rPr>
          <w:spacing w:val="-3"/>
        </w:rPr>
        <w:t>.</w:t>
      </w:r>
    </w:p>
    <w:p w14:paraId="69B209A0" w14:textId="0FD62D68" w:rsidR="00CC67E4" w:rsidRPr="00D61B24" w:rsidRDefault="00CC67E4" w:rsidP="00D61B24">
      <w:pPr>
        <w:pStyle w:val="Prrafodelista"/>
        <w:numPr>
          <w:ilvl w:val="0"/>
          <w:numId w:val="29"/>
        </w:numPr>
        <w:spacing w:before="120" w:after="120" w:line="360" w:lineRule="auto"/>
        <w:ind w:left="1276" w:hanging="283"/>
        <w:jc w:val="both"/>
        <w:rPr>
          <w:spacing w:val="-3"/>
        </w:rPr>
      </w:pPr>
      <w:r w:rsidRPr="00D61B24">
        <w:rPr>
          <w:spacing w:val="-3"/>
        </w:rPr>
        <w:t>El artículo 1812, que dispone que las personas jurídicas “sólo podrán transigir en la forma y con los requisitos que necesiten para enajenar sus bienes”</w:t>
      </w:r>
      <w:r w:rsidR="00D61B24" w:rsidRPr="00D61B24">
        <w:rPr>
          <w:spacing w:val="-3"/>
        </w:rPr>
        <w:t>.</w:t>
      </w:r>
    </w:p>
    <w:p w14:paraId="2698A99A" w14:textId="474AE050" w:rsidR="00D61B24" w:rsidRPr="00D61B24" w:rsidRDefault="00D61B24" w:rsidP="00D61B24">
      <w:pPr>
        <w:pStyle w:val="Prrafodelista"/>
        <w:spacing w:before="120" w:after="120" w:line="360" w:lineRule="auto"/>
        <w:ind w:left="1276" w:firstLine="284"/>
        <w:jc w:val="both"/>
        <w:rPr>
          <w:spacing w:val="-3"/>
        </w:rPr>
      </w:pPr>
      <w:r w:rsidRPr="00D61B24">
        <w:rPr>
          <w:spacing w:val="-3"/>
        </w:rPr>
        <w:t>Para el Estado, estos requisitos están recogidos por los artículos 31 de la Ley de Patrimonio de las Administraciones Públicas de 3 de noviembre de 2003 y 7.3 de la Ley General Presupuestaria de 26 de noviembre de 2002, que disponen que no se podrá transigir judicial ni extrajudicialmente sobre los derechos del Patrimonio del Estado y de la Hacienda Pública estatal, ni someter a arbitraje las contiendas que se susciten respecto de los mismos, sino mediante Real Decreto acordado en Consejo de Ministros, previa audiencia del de Estado en pleno.</w:t>
      </w:r>
    </w:p>
    <w:p w14:paraId="6DEBE4A4" w14:textId="304BB5CF" w:rsidR="00C71130" w:rsidRDefault="00D61B24" w:rsidP="00D61B24">
      <w:pPr>
        <w:pStyle w:val="Prrafodelista"/>
        <w:numPr>
          <w:ilvl w:val="0"/>
          <w:numId w:val="29"/>
        </w:numPr>
        <w:spacing w:before="120" w:after="120" w:line="360" w:lineRule="auto"/>
        <w:ind w:left="1276" w:hanging="283"/>
        <w:jc w:val="both"/>
        <w:rPr>
          <w:spacing w:val="-3"/>
        </w:rPr>
      </w:pPr>
      <w:r w:rsidRPr="00D61B24">
        <w:rPr>
          <w:spacing w:val="-3"/>
        </w:rPr>
        <w:t>E</w:t>
      </w:r>
      <w:r w:rsidR="00C71130" w:rsidRPr="00D61B24">
        <w:rPr>
          <w:spacing w:val="-3"/>
        </w:rPr>
        <w:t>l artículo 1713</w:t>
      </w:r>
      <w:r w:rsidRPr="00D61B24">
        <w:rPr>
          <w:spacing w:val="-3"/>
        </w:rPr>
        <w:t>, que dispone que p</w:t>
      </w:r>
      <w:r w:rsidR="00C71130" w:rsidRPr="00D61B24">
        <w:rPr>
          <w:spacing w:val="-3"/>
        </w:rPr>
        <w:t>ara transigir se necesita mandato expreso</w:t>
      </w:r>
      <w:r w:rsidRPr="00D61B24">
        <w:rPr>
          <w:spacing w:val="-3"/>
        </w:rPr>
        <w:t>, y que la</w:t>
      </w:r>
      <w:r w:rsidR="00C71130" w:rsidRPr="00D61B24">
        <w:rPr>
          <w:spacing w:val="-3"/>
        </w:rPr>
        <w:t xml:space="preserve"> facultad de transigir no autoriza para </w:t>
      </w:r>
      <w:r w:rsidRPr="00D61B24">
        <w:rPr>
          <w:spacing w:val="-3"/>
        </w:rPr>
        <w:t>someter la cuestión a arbitraje</w:t>
      </w:r>
      <w:r w:rsidR="00C71130" w:rsidRPr="00D61B24">
        <w:rPr>
          <w:spacing w:val="-3"/>
        </w:rPr>
        <w:t>.</w:t>
      </w:r>
    </w:p>
    <w:p w14:paraId="638A910D" w14:textId="0AA36BFD" w:rsidR="009F5C76" w:rsidRPr="00D61B24" w:rsidRDefault="009F5C76" w:rsidP="009F5C76">
      <w:pPr>
        <w:pStyle w:val="Prrafodelista"/>
        <w:spacing w:before="120" w:after="120" w:line="360" w:lineRule="auto"/>
        <w:ind w:left="1276" w:firstLine="284"/>
        <w:jc w:val="both"/>
        <w:rPr>
          <w:spacing w:val="-3"/>
        </w:rPr>
      </w:pPr>
      <w:r>
        <w:rPr>
          <w:spacing w:val="-3"/>
        </w:rPr>
        <w:t>Coherentemente, la Ley de Enjuiciamiento Civil exige poder especial al procurador para la transacción judicial.</w:t>
      </w:r>
    </w:p>
    <w:p w14:paraId="21B32D1F" w14:textId="518ED5B2" w:rsidR="00C71130" w:rsidRDefault="00D61B24" w:rsidP="00D61B24">
      <w:pPr>
        <w:pStyle w:val="Prrafodelista"/>
        <w:numPr>
          <w:ilvl w:val="0"/>
          <w:numId w:val="28"/>
        </w:numPr>
        <w:spacing w:before="120" w:after="120" w:line="360" w:lineRule="auto"/>
        <w:ind w:left="993" w:hanging="284"/>
        <w:jc w:val="both"/>
        <w:rPr>
          <w:spacing w:val="-3"/>
        </w:rPr>
      </w:pPr>
      <w:r>
        <w:rPr>
          <w:spacing w:val="-3"/>
        </w:rPr>
        <w:t>Respecto de los e</w:t>
      </w:r>
      <w:r w:rsidR="00C71130" w:rsidRPr="00D61B24">
        <w:rPr>
          <w:spacing w:val="-3"/>
        </w:rPr>
        <w:t>lementos reales</w:t>
      </w:r>
      <w:r>
        <w:rPr>
          <w:spacing w:val="-3"/>
        </w:rPr>
        <w:t xml:space="preserve">, </w:t>
      </w:r>
      <w:r w:rsidR="00C71130" w:rsidRPr="00D61B24">
        <w:rPr>
          <w:spacing w:val="-3"/>
        </w:rPr>
        <w:t>pueden ser objeto de transacción todos los derechos controvertidos o dudosos que sean susceptibles de disposición o renuncia por los particulares.</w:t>
      </w:r>
    </w:p>
    <w:p w14:paraId="31E1EB85" w14:textId="54898391" w:rsidR="00C71130" w:rsidRPr="00D61B24" w:rsidRDefault="00D61B24" w:rsidP="00D61B24">
      <w:pPr>
        <w:pStyle w:val="Prrafodelista"/>
        <w:spacing w:before="120" w:after="120" w:line="360" w:lineRule="auto"/>
        <w:ind w:left="993" w:firstLine="283"/>
        <w:jc w:val="both"/>
        <w:rPr>
          <w:spacing w:val="-3"/>
        </w:rPr>
      </w:pPr>
      <w:r w:rsidRPr="00D61B24">
        <w:rPr>
          <w:spacing w:val="-3"/>
        </w:rPr>
        <w:t>El artículo 1813 del Código Civil puntualiza que “s</w:t>
      </w:r>
      <w:r w:rsidR="00C71130" w:rsidRPr="00D61B24">
        <w:rPr>
          <w:spacing w:val="-3"/>
        </w:rPr>
        <w:t>e puede transigir sobre la acción civil proveniente de un delito; pero no por eso se extinguirá la acción pública para la imposición de la pena legal</w:t>
      </w:r>
      <w:r w:rsidRPr="00D61B24">
        <w:rPr>
          <w:spacing w:val="-3"/>
        </w:rPr>
        <w:t>, y el a</w:t>
      </w:r>
      <w:r w:rsidR="00C71130" w:rsidRPr="00D61B24">
        <w:rPr>
          <w:spacing w:val="-3"/>
        </w:rPr>
        <w:t>rtículo 1814</w:t>
      </w:r>
      <w:r w:rsidRPr="00D61B24">
        <w:rPr>
          <w:spacing w:val="-3"/>
        </w:rPr>
        <w:t xml:space="preserve"> establece que </w:t>
      </w:r>
      <w:r>
        <w:rPr>
          <w:spacing w:val="-3"/>
        </w:rPr>
        <w:t>“n</w:t>
      </w:r>
      <w:r w:rsidR="00C71130" w:rsidRPr="00D61B24">
        <w:rPr>
          <w:spacing w:val="-3"/>
        </w:rPr>
        <w:t>o se puede transigir sobre el estado civil de las personas, ni sobre las cuestiones matrimoniales, ni sobre alimentos futuros”</w:t>
      </w:r>
      <w:r>
        <w:rPr>
          <w:spacing w:val="-3"/>
        </w:rPr>
        <w:t>.</w:t>
      </w:r>
    </w:p>
    <w:p w14:paraId="4315116D" w14:textId="132B1D97" w:rsidR="00C71130" w:rsidRPr="00C71130" w:rsidRDefault="00D61B24" w:rsidP="00D61B24">
      <w:pPr>
        <w:pStyle w:val="Prrafodelista"/>
        <w:numPr>
          <w:ilvl w:val="0"/>
          <w:numId w:val="28"/>
        </w:numPr>
        <w:spacing w:before="120" w:after="120" w:line="360" w:lineRule="auto"/>
        <w:ind w:left="993" w:hanging="284"/>
        <w:jc w:val="both"/>
        <w:rPr>
          <w:spacing w:val="-3"/>
        </w:rPr>
      </w:pPr>
      <w:r>
        <w:rPr>
          <w:spacing w:val="-3"/>
        </w:rPr>
        <w:t>Respecto de los elementos formales, l</w:t>
      </w:r>
      <w:r w:rsidR="00C71130" w:rsidRPr="00C71130">
        <w:rPr>
          <w:spacing w:val="-3"/>
        </w:rPr>
        <w:t>a transacción no exige ninguna formalidad especial</w:t>
      </w:r>
      <w:r>
        <w:rPr>
          <w:spacing w:val="-3"/>
        </w:rPr>
        <w:t>, si bien cuando</w:t>
      </w:r>
      <w:r w:rsidR="00C71130" w:rsidRPr="00C71130">
        <w:rPr>
          <w:spacing w:val="-3"/>
        </w:rPr>
        <w:t xml:space="preserve"> recaiga sobre bienes inmuebles</w:t>
      </w:r>
      <w:r w:rsidR="009F5C76">
        <w:rPr>
          <w:spacing w:val="-3"/>
        </w:rPr>
        <w:t>, el artículo 144 de la Ley Hipotecaria establece que</w:t>
      </w:r>
      <w:r w:rsidR="00C71130" w:rsidRPr="00C71130">
        <w:rPr>
          <w:spacing w:val="-3"/>
        </w:rPr>
        <w:t xml:space="preserve"> no perjudicará a </w:t>
      </w:r>
      <w:r w:rsidR="009F5C76">
        <w:rPr>
          <w:spacing w:val="-3"/>
        </w:rPr>
        <w:t>tercero</w:t>
      </w:r>
      <w:r w:rsidR="00C71130" w:rsidRPr="00C71130">
        <w:rPr>
          <w:spacing w:val="-3"/>
        </w:rPr>
        <w:t xml:space="preserve"> si</w:t>
      </w:r>
      <w:r w:rsidR="009F5C76">
        <w:rPr>
          <w:spacing w:val="-3"/>
        </w:rPr>
        <w:t xml:space="preserve"> </w:t>
      </w:r>
      <w:r w:rsidR="00C71130" w:rsidRPr="00C71130">
        <w:rPr>
          <w:spacing w:val="-3"/>
        </w:rPr>
        <w:t xml:space="preserve">no </w:t>
      </w:r>
      <w:r w:rsidR="009F5C76">
        <w:rPr>
          <w:spacing w:val="-3"/>
        </w:rPr>
        <w:t xml:space="preserve">consta </w:t>
      </w:r>
      <w:r w:rsidR="00C71130" w:rsidRPr="00C71130">
        <w:rPr>
          <w:spacing w:val="-3"/>
        </w:rPr>
        <w:t xml:space="preserve">en el Registro de la </w:t>
      </w:r>
      <w:r w:rsidR="009F5C76">
        <w:rPr>
          <w:spacing w:val="-3"/>
        </w:rPr>
        <w:t>P</w:t>
      </w:r>
      <w:r w:rsidR="00C71130" w:rsidRPr="00C71130">
        <w:rPr>
          <w:spacing w:val="-3"/>
        </w:rPr>
        <w:t>ropiedad</w:t>
      </w:r>
      <w:r w:rsidR="009F5C76">
        <w:rPr>
          <w:spacing w:val="-3"/>
        </w:rPr>
        <w:t>.</w:t>
      </w:r>
    </w:p>
    <w:p w14:paraId="1A4A60B6" w14:textId="0E60E95D" w:rsidR="00C71130" w:rsidRDefault="009F5C76" w:rsidP="00C71130">
      <w:pPr>
        <w:spacing w:before="120" w:after="120" w:line="360" w:lineRule="auto"/>
        <w:ind w:firstLine="708"/>
        <w:jc w:val="both"/>
        <w:rPr>
          <w:spacing w:val="-3"/>
        </w:rPr>
      </w:pPr>
      <w:r>
        <w:rPr>
          <w:spacing w:val="-3"/>
        </w:rPr>
        <w:lastRenderedPageBreak/>
        <w:t>Los efectos de la transacción están regulados por los siguientes preceptos del Código Civil:</w:t>
      </w:r>
    </w:p>
    <w:p w14:paraId="420ACA2B" w14:textId="0C1951AD" w:rsidR="00C71130" w:rsidRPr="009F5C76" w:rsidRDefault="009F5C76" w:rsidP="009F5C76">
      <w:pPr>
        <w:pStyle w:val="Prrafodelista"/>
        <w:numPr>
          <w:ilvl w:val="0"/>
          <w:numId w:val="30"/>
        </w:numPr>
        <w:spacing w:before="120" w:after="120" w:line="360" w:lineRule="auto"/>
        <w:ind w:left="993" w:hanging="284"/>
        <w:jc w:val="both"/>
        <w:rPr>
          <w:spacing w:val="-3"/>
        </w:rPr>
      </w:pPr>
      <w:r w:rsidRPr="009F5C76">
        <w:rPr>
          <w:spacing w:val="-3"/>
        </w:rPr>
        <w:t>El a</w:t>
      </w:r>
      <w:r w:rsidR="00C71130" w:rsidRPr="009F5C76">
        <w:rPr>
          <w:spacing w:val="-3"/>
        </w:rPr>
        <w:t>rtículo 1815</w:t>
      </w:r>
      <w:r w:rsidRPr="009F5C76">
        <w:rPr>
          <w:spacing w:val="-3"/>
        </w:rPr>
        <w:t>, que dispone que “l</w:t>
      </w:r>
      <w:r w:rsidR="00C71130" w:rsidRPr="009F5C76">
        <w:rPr>
          <w:spacing w:val="-3"/>
        </w:rPr>
        <w:t>a transacción no comprende sino los objetos expresados determinadamente en ella, o que, por una inducción necesaria de sus palabras, deban reputarse comprendidos en la misma.</w:t>
      </w:r>
      <w:r w:rsidRPr="009F5C76">
        <w:rPr>
          <w:spacing w:val="-3"/>
        </w:rPr>
        <w:t xml:space="preserve"> </w:t>
      </w:r>
      <w:r w:rsidR="00C71130" w:rsidRPr="009F5C76">
        <w:rPr>
          <w:spacing w:val="-3"/>
        </w:rPr>
        <w:t>La renuncia general de derechos se entiende sólo de los que tienen relación con la disputa sobre que ha recaído la transacción”</w:t>
      </w:r>
      <w:r w:rsidRPr="009F5C76">
        <w:rPr>
          <w:spacing w:val="-3"/>
        </w:rPr>
        <w:t>.</w:t>
      </w:r>
    </w:p>
    <w:p w14:paraId="64107E76" w14:textId="291AF51D" w:rsidR="00C71130" w:rsidRPr="009F5C76" w:rsidRDefault="009F5C76" w:rsidP="009F5C76">
      <w:pPr>
        <w:pStyle w:val="Prrafodelista"/>
        <w:numPr>
          <w:ilvl w:val="0"/>
          <w:numId w:val="30"/>
        </w:numPr>
        <w:spacing w:before="120" w:after="120" w:line="360" w:lineRule="auto"/>
        <w:ind w:left="993" w:hanging="284"/>
        <w:jc w:val="both"/>
        <w:rPr>
          <w:spacing w:val="-3"/>
        </w:rPr>
      </w:pPr>
      <w:r w:rsidRPr="009F5C76">
        <w:rPr>
          <w:spacing w:val="-3"/>
        </w:rPr>
        <w:t>El artículo 1817, que dispone que “l</w:t>
      </w:r>
      <w:r w:rsidR="00C71130" w:rsidRPr="009F5C76">
        <w:rPr>
          <w:spacing w:val="-3"/>
        </w:rPr>
        <w:t>a transacción en que intervenga error, dolo, violencia o falsedad de documentos, está sujeta a lo dispuesto en el artículo 1.265 de este Código.</w:t>
      </w:r>
      <w:r w:rsidRPr="009F5C76">
        <w:rPr>
          <w:spacing w:val="-3"/>
        </w:rPr>
        <w:t xml:space="preserve"> </w:t>
      </w:r>
      <w:r w:rsidR="00C71130" w:rsidRPr="009F5C76">
        <w:rPr>
          <w:spacing w:val="-3"/>
        </w:rPr>
        <w:t>Sin embargo, no podrá una de las partes oponer el error de hecho a la otra siempre que ésta se haya apartado por la transacción de un pleito comenzado”</w:t>
      </w:r>
      <w:r w:rsidRPr="009F5C76">
        <w:rPr>
          <w:spacing w:val="-3"/>
        </w:rPr>
        <w:t>.</w:t>
      </w:r>
    </w:p>
    <w:p w14:paraId="3E84DA9F" w14:textId="503CC795" w:rsidR="00C71130" w:rsidRPr="009F5C76" w:rsidRDefault="009F5C76" w:rsidP="009F5C76">
      <w:pPr>
        <w:pStyle w:val="Prrafodelista"/>
        <w:numPr>
          <w:ilvl w:val="0"/>
          <w:numId w:val="30"/>
        </w:numPr>
        <w:spacing w:before="120" w:after="120" w:line="360" w:lineRule="auto"/>
        <w:ind w:left="993" w:hanging="284"/>
        <w:jc w:val="both"/>
        <w:rPr>
          <w:spacing w:val="-3"/>
        </w:rPr>
      </w:pPr>
      <w:r w:rsidRPr="009F5C76">
        <w:rPr>
          <w:spacing w:val="-3"/>
        </w:rPr>
        <w:t>El artículo 1818, que dispone que “e</w:t>
      </w:r>
      <w:r w:rsidR="00C71130" w:rsidRPr="009F5C76">
        <w:rPr>
          <w:spacing w:val="-3"/>
        </w:rPr>
        <w:t>l descubrimiento de nuevos documentos no es causa para anular o rescindir la transacción, si no ha habido mala fe”</w:t>
      </w:r>
      <w:r w:rsidRPr="009F5C76">
        <w:rPr>
          <w:spacing w:val="-3"/>
        </w:rPr>
        <w:t>.</w:t>
      </w:r>
    </w:p>
    <w:p w14:paraId="56F29608" w14:textId="53DAE95B" w:rsidR="005F485E" w:rsidRPr="009F5C76" w:rsidRDefault="009F5C76" w:rsidP="009F5C76">
      <w:pPr>
        <w:pStyle w:val="Prrafodelista"/>
        <w:numPr>
          <w:ilvl w:val="0"/>
          <w:numId w:val="30"/>
        </w:numPr>
        <w:spacing w:before="120" w:after="120" w:line="360" w:lineRule="auto"/>
        <w:ind w:left="993" w:hanging="284"/>
        <w:jc w:val="both"/>
        <w:rPr>
          <w:spacing w:val="-3"/>
        </w:rPr>
      </w:pPr>
      <w:r w:rsidRPr="009F5C76">
        <w:rPr>
          <w:spacing w:val="-3"/>
        </w:rPr>
        <w:t>El artículo 1819, que dispone que “s</w:t>
      </w:r>
      <w:r w:rsidR="00C71130" w:rsidRPr="009F5C76">
        <w:rPr>
          <w:spacing w:val="-3"/>
        </w:rPr>
        <w:t>i estando decidido un pleito por sentencia firme, se celebrare transacción sobre él por ignorar la existencia de la sentencia firme alguna de las partes interesadas, podrá ésta pedir que se rescinda la transacción.</w:t>
      </w:r>
      <w:r w:rsidRPr="009F5C76">
        <w:rPr>
          <w:spacing w:val="-3"/>
        </w:rPr>
        <w:t xml:space="preserve"> </w:t>
      </w:r>
      <w:r w:rsidR="00C71130" w:rsidRPr="009F5C76">
        <w:rPr>
          <w:spacing w:val="-3"/>
        </w:rPr>
        <w:t>La ignorancia de una sentencia que pueda revocarse, no es causa para atacar la transacción”</w:t>
      </w:r>
      <w:r w:rsidRPr="009F5C76">
        <w:rPr>
          <w:spacing w:val="-3"/>
        </w:rPr>
        <w:t>.</w:t>
      </w:r>
    </w:p>
    <w:p w14:paraId="4CD7C0A5" w14:textId="6630777D" w:rsidR="005F485E" w:rsidRDefault="005F485E" w:rsidP="00FC2821">
      <w:pPr>
        <w:spacing w:before="120" w:after="120" w:line="360" w:lineRule="auto"/>
        <w:ind w:firstLine="708"/>
        <w:jc w:val="both"/>
        <w:rPr>
          <w:spacing w:val="-3"/>
        </w:rPr>
      </w:pPr>
    </w:p>
    <w:p w14:paraId="6C64D4AB" w14:textId="38CF6F9F" w:rsidR="009F5C76" w:rsidRDefault="009F5C76" w:rsidP="009F5C76">
      <w:pPr>
        <w:spacing w:before="120" w:after="120" w:line="360" w:lineRule="auto"/>
        <w:jc w:val="both"/>
        <w:rPr>
          <w:spacing w:val="-3"/>
        </w:rPr>
      </w:pPr>
      <w:r w:rsidRPr="009F5C76">
        <w:rPr>
          <w:b/>
          <w:bCs/>
          <w:spacing w:val="-3"/>
        </w:rPr>
        <w:t>EL CONVENIO ARBITRAL.</w:t>
      </w:r>
    </w:p>
    <w:p w14:paraId="68B5B6BF" w14:textId="1780DE46" w:rsidR="009F5C76" w:rsidRDefault="009F5C76" w:rsidP="009F5C76">
      <w:pPr>
        <w:spacing w:before="120" w:after="120" w:line="360" w:lineRule="auto"/>
        <w:ind w:firstLine="708"/>
        <w:jc w:val="both"/>
        <w:rPr>
          <w:spacing w:val="-3"/>
        </w:rPr>
      </w:pPr>
      <w:r>
        <w:rPr>
          <w:spacing w:val="-3"/>
        </w:rPr>
        <w:t xml:space="preserve">El </w:t>
      </w:r>
      <w:r w:rsidRPr="009F5C76">
        <w:rPr>
          <w:spacing w:val="-3"/>
        </w:rPr>
        <w:t>convenio arbitral es aquel por virtud del</w:t>
      </w:r>
      <w:r>
        <w:rPr>
          <w:spacing w:val="-3"/>
        </w:rPr>
        <w:t xml:space="preserve"> </w:t>
      </w:r>
      <w:r w:rsidRPr="009F5C76">
        <w:rPr>
          <w:spacing w:val="-3"/>
        </w:rPr>
        <w:t>cual unas personas que tienen, o prevén que puedan tener, una controversia</w:t>
      </w:r>
      <w:r>
        <w:rPr>
          <w:spacing w:val="-3"/>
        </w:rPr>
        <w:t xml:space="preserve"> </w:t>
      </w:r>
      <w:r w:rsidRPr="009F5C76">
        <w:rPr>
          <w:spacing w:val="-3"/>
        </w:rPr>
        <w:t>jurídica, acuerdan resolverla sometiéndose a la decisión que sobre la misma</w:t>
      </w:r>
      <w:r w:rsidR="00976E3A">
        <w:rPr>
          <w:spacing w:val="-3"/>
        </w:rPr>
        <w:t xml:space="preserve"> </w:t>
      </w:r>
      <w:r w:rsidRPr="009F5C76">
        <w:rPr>
          <w:spacing w:val="-3"/>
        </w:rPr>
        <w:t xml:space="preserve">adopten </w:t>
      </w:r>
      <w:r w:rsidR="00976E3A">
        <w:rPr>
          <w:spacing w:val="-3"/>
        </w:rPr>
        <w:t>un árbitro o un colegio arbitral.</w:t>
      </w:r>
    </w:p>
    <w:p w14:paraId="4BC6FF7B" w14:textId="6D5E3469" w:rsidR="009F5C76" w:rsidRDefault="00976E3A" w:rsidP="00FC2821">
      <w:pPr>
        <w:spacing w:before="120" w:after="120" w:line="360" w:lineRule="auto"/>
        <w:ind w:firstLine="708"/>
        <w:jc w:val="both"/>
        <w:rPr>
          <w:spacing w:val="-3"/>
        </w:rPr>
      </w:pPr>
      <w:r>
        <w:rPr>
          <w:spacing w:val="-3"/>
        </w:rPr>
        <w:t xml:space="preserve">El arbitraje se estudia en el tema 24 de Derecho Procesal del programa, por lo que en el presente se expone la regulación del convenio arbitral por los artículos 9 </w:t>
      </w:r>
      <w:r w:rsidR="00D76CB6">
        <w:rPr>
          <w:spacing w:val="-3"/>
        </w:rPr>
        <w:t>y siguientes</w:t>
      </w:r>
      <w:r>
        <w:rPr>
          <w:spacing w:val="-3"/>
        </w:rPr>
        <w:t xml:space="preserve"> de la Ley de Arbitraje de 23 de diciembre de 2003.</w:t>
      </w:r>
    </w:p>
    <w:p w14:paraId="6A196DB4" w14:textId="392C95AC" w:rsidR="005F485E" w:rsidRDefault="00976E3A" w:rsidP="00FC2821">
      <w:pPr>
        <w:spacing w:before="120" w:after="120" w:line="360" w:lineRule="auto"/>
        <w:ind w:firstLine="708"/>
        <w:jc w:val="both"/>
        <w:rPr>
          <w:spacing w:val="-3"/>
        </w:rPr>
      </w:pPr>
      <w:r>
        <w:rPr>
          <w:spacing w:val="-3"/>
        </w:rPr>
        <w:t>Las normas fundamentales de esta regulación son las siguientes:</w:t>
      </w:r>
    </w:p>
    <w:p w14:paraId="509581D8" w14:textId="77777777" w:rsidR="00976E3A" w:rsidRPr="00D76CB6" w:rsidRDefault="00976E3A" w:rsidP="00D76CB6">
      <w:pPr>
        <w:pStyle w:val="Prrafodelista"/>
        <w:numPr>
          <w:ilvl w:val="0"/>
          <w:numId w:val="31"/>
        </w:numPr>
        <w:spacing w:before="120" w:after="120" w:line="360" w:lineRule="auto"/>
        <w:ind w:left="993" w:hanging="284"/>
        <w:jc w:val="both"/>
        <w:rPr>
          <w:spacing w:val="-3"/>
        </w:rPr>
      </w:pPr>
      <w:r w:rsidRPr="00D76CB6">
        <w:rPr>
          <w:spacing w:val="-3"/>
        </w:rPr>
        <w:t xml:space="preserve">El convenio arbitral, que podrá adoptar la forma de cláusula incorporada a un contrato o de acuerdo independiente, deberá expresar la voluntad de las partes de someter a arbitraje todas o algunas de las controversias que hayan surgido o </w:t>
      </w:r>
      <w:r w:rsidRPr="00D76CB6">
        <w:rPr>
          <w:spacing w:val="-3"/>
        </w:rPr>
        <w:lastRenderedPageBreak/>
        <w:t>puedan surgir respecto de una determinada relación jurídica, contractual o no contractual.</w:t>
      </w:r>
    </w:p>
    <w:p w14:paraId="15D1453C" w14:textId="24808F48" w:rsidR="00976E3A" w:rsidRPr="00D76CB6" w:rsidRDefault="00976E3A" w:rsidP="00D76CB6">
      <w:pPr>
        <w:pStyle w:val="Prrafodelista"/>
        <w:numPr>
          <w:ilvl w:val="0"/>
          <w:numId w:val="31"/>
        </w:numPr>
        <w:spacing w:before="120" w:after="120" w:line="360" w:lineRule="auto"/>
        <w:ind w:left="993" w:hanging="284"/>
        <w:jc w:val="both"/>
        <w:rPr>
          <w:spacing w:val="-3"/>
        </w:rPr>
      </w:pPr>
      <w:r w:rsidRPr="00D76CB6">
        <w:rPr>
          <w:spacing w:val="-3"/>
        </w:rPr>
        <w:t>El convenio arbitral deberá constar por escrito, en un documento firmado por las partes o por medios que dejen constancia del mismo, incluyendo los electrónicos.</w:t>
      </w:r>
    </w:p>
    <w:p w14:paraId="02866901" w14:textId="35B2C683" w:rsidR="00976E3A" w:rsidRPr="00D76CB6" w:rsidRDefault="00976E3A" w:rsidP="00D76CB6">
      <w:pPr>
        <w:pStyle w:val="Prrafodelista"/>
        <w:numPr>
          <w:ilvl w:val="0"/>
          <w:numId w:val="31"/>
        </w:numPr>
        <w:spacing w:before="120" w:after="120" w:line="360" w:lineRule="auto"/>
        <w:ind w:left="993" w:hanging="284"/>
        <w:jc w:val="both"/>
        <w:rPr>
          <w:spacing w:val="-3"/>
        </w:rPr>
      </w:pPr>
      <w:r w:rsidRPr="00D76CB6">
        <w:rPr>
          <w:spacing w:val="-3"/>
        </w:rPr>
        <w:t>Se considerará que hay convenio arbitral cuando en un intercambio de escritos de demanda y contestación su existencia sea afirmada por una parte y no negada por la otra.</w:t>
      </w:r>
    </w:p>
    <w:p w14:paraId="7E76C3A5" w14:textId="6A5A51F2" w:rsidR="00976E3A" w:rsidRPr="00D76CB6" w:rsidRDefault="00976E3A" w:rsidP="00D76CB6">
      <w:pPr>
        <w:pStyle w:val="Prrafodelista"/>
        <w:numPr>
          <w:ilvl w:val="0"/>
          <w:numId w:val="31"/>
        </w:numPr>
        <w:spacing w:before="120" w:after="120" w:line="360" w:lineRule="auto"/>
        <w:ind w:left="993" w:hanging="284"/>
        <w:jc w:val="both"/>
        <w:rPr>
          <w:spacing w:val="-3"/>
        </w:rPr>
      </w:pPr>
      <w:r w:rsidRPr="00D76CB6">
        <w:rPr>
          <w:spacing w:val="-3"/>
        </w:rPr>
        <w:t>Cuando el arbitraje fuere internacional, el convenio arbitral será válido y la controversia será susceptible de arbitraje si cumplen los requisitos establecidos por las normas jurídicas elegidas por las partes para regir el convenio arbitral, o por las normas jurídicas aplicables al fondo de la controversia, o por el derecho español.</w:t>
      </w:r>
    </w:p>
    <w:p w14:paraId="586EAF0B" w14:textId="0FCD73D6" w:rsidR="00976E3A" w:rsidRPr="00D76CB6" w:rsidRDefault="00976E3A" w:rsidP="00D76CB6">
      <w:pPr>
        <w:pStyle w:val="Prrafodelista"/>
        <w:numPr>
          <w:ilvl w:val="0"/>
          <w:numId w:val="31"/>
        </w:numPr>
        <w:spacing w:before="120" w:after="120" w:line="360" w:lineRule="auto"/>
        <w:ind w:left="993" w:hanging="284"/>
        <w:jc w:val="both"/>
        <w:rPr>
          <w:spacing w:val="-3"/>
        </w:rPr>
      </w:pPr>
      <w:r w:rsidRPr="00D76CB6">
        <w:rPr>
          <w:spacing w:val="-3"/>
        </w:rPr>
        <w:t>El convenio arbitral obliga a las partes a cumplir lo estipulado e impide a los tribunales conocer de las controversias sometidas a arbitraje, siempre que la parte a quien interese lo invoque mediante declinatoria, lo que también prevé la Ley de Enjuiciamiento Civil.</w:t>
      </w:r>
    </w:p>
    <w:p w14:paraId="7409D101" w14:textId="024F2389" w:rsidR="00D76CB6" w:rsidRPr="00D76CB6" w:rsidRDefault="00976E3A" w:rsidP="00D76CB6">
      <w:pPr>
        <w:pStyle w:val="Prrafodelista"/>
        <w:numPr>
          <w:ilvl w:val="0"/>
          <w:numId w:val="31"/>
        </w:numPr>
        <w:spacing w:before="120" w:after="120" w:line="360" w:lineRule="auto"/>
        <w:ind w:left="993" w:hanging="284"/>
        <w:jc w:val="both"/>
        <w:rPr>
          <w:spacing w:val="-3"/>
        </w:rPr>
      </w:pPr>
      <w:r w:rsidRPr="00D76CB6">
        <w:rPr>
          <w:spacing w:val="-3"/>
        </w:rPr>
        <w:t xml:space="preserve">Aunque no se trata propiamente de un convenio arbitral, la Ley prevé </w:t>
      </w:r>
      <w:r w:rsidR="00D76CB6">
        <w:rPr>
          <w:spacing w:val="-3"/>
        </w:rPr>
        <w:t>que</w:t>
      </w:r>
      <w:r w:rsidR="00D76CB6" w:rsidRPr="00D76CB6">
        <w:rPr>
          <w:spacing w:val="-3"/>
        </w:rPr>
        <w:t>:</w:t>
      </w:r>
    </w:p>
    <w:p w14:paraId="4DF1E42F" w14:textId="412E922E" w:rsidR="005F485E" w:rsidRPr="00D76CB6" w:rsidRDefault="00D76CB6" w:rsidP="00D76CB6">
      <w:pPr>
        <w:pStyle w:val="Prrafodelista"/>
        <w:numPr>
          <w:ilvl w:val="0"/>
          <w:numId w:val="32"/>
        </w:numPr>
        <w:spacing w:before="120" w:after="120" w:line="360" w:lineRule="auto"/>
        <w:ind w:left="1276" w:hanging="283"/>
        <w:jc w:val="both"/>
        <w:rPr>
          <w:spacing w:val="-3"/>
        </w:rPr>
      </w:pPr>
      <w:r>
        <w:rPr>
          <w:spacing w:val="-3"/>
        </w:rPr>
        <w:t>S</w:t>
      </w:r>
      <w:r w:rsidR="00976E3A" w:rsidRPr="00D76CB6">
        <w:rPr>
          <w:spacing w:val="-3"/>
        </w:rPr>
        <w:t>erá válido el arbitraje instituido por disposición testamentaria para solucionar diferencias entre herederos no forzosos o legatarios.</w:t>
      </w:r>
    </w:p>
    <w:p w14:paraId="2458BC32" w14:textId="10A8B9D7" w:rsidR="00D76CB6" w:rsidRPr="00D76CB6" w:rsidRDefault="00D76CB6" w:rsidP="00D76CB6">
      <w:pPr>
        <w:pStyle w:val="Prrafodelista"/>
        <w:numPr>
          <w:ilvl w:val="0"/>
          <w:numId w:val="32"/>
        </w:numPr>
        <w:spacing w:before="120" w:after="120" w:line="360" w:lineRule="auto"/>
        <w:ind w:left="1276" w:hanging="283"/>
        <w:jc w:val="both"/>
        <w:rPr>
          <w:spacing w:val="-3"/>
        </w:rPr>
      </w:pPr>
      <w:r>
        <w:rPr>
          <w:spacing w:val="-3"/>
        </w:rPr>
        <w:t>L</w:t>
      </w:r>
      <w:r w:rsidRPr="00D76CB6">
        <w:rPr>
          <w:spacing w:val="-3"/>
        </w:rPr>
        <w:t xml:space="preserve">as sociedades de capital podrán someter a arbitraje los conflictos </w:t>
      </w:r>
      <w:r>
        <w:rPr>
          <w:spacing w:val="-3"/>
        </w:rPr>
        <w:t>sociales</w:t>
      </w:r>
      <w:r w:rsidRPr="00D76CB6">
        <w:rPr>
          <w:spacing w:val="-3"/>
        </w:rPr>
        <w:t>.</w:t>
      </w:r>
    </w:p>
    <w:p w14:paraId="7B388DD2" w14:textId="57FA3C9B" w:rsidR="00D76CB6" w:rsidRPr="00D76CB6" w:rsidRDefault="00D76CB6" w:rsidP="00D76CB6">
      <w:pPr>
        <w:pStyle w:val="Prrafodelista"/>
        <w:spacing w:before="120" w:after="120" w:line="360" w:lineRule="auto"/>
        <w:ind w:left="1276" w:firstLine="284"/>
        <w:jc w:val="both"/>
        <w:rPr>
          <w:spacing w:val="-3"/>
        </w:rPr>
      </w:pPr>
      <w:r w:rsidRPr="00D76CB6">
        <w:rPr>
          <w:spacing w:val="-3"/>
        </w:rPr>
        <w:t>La introducción en los estatutos sociales de una cláusula de sumisión a arbitraje requerirá el voto favorable de, al menos, dos tercios del capital social.</w:t>
      </w:r>
    </w:p>
    <w:p w14:paraId="4DA3ECEC" w14:textId="67CE864F" w:rsidR="0063254C" w:rsidRPr="00D76CB6" w:rsidRDefault="00D76CB6" w:rsidP="00D76CB6">
      <w:pPr>
        <w:pStyle w:val="Prrafodelista"/>
        <w:spacing w:before="120" w:after="120" w:line="360" w:lineRule="auto"/>
        <w:ind w:left="1276" w:firstLine="284"/>
        <w:jc w:val="both"/>
        <w:rPr>
          <w:spacing w:val="-3"/>
        </w:rPr>
      </w:pPr>
      <w:r w:rsidRPr="00D76CB6">
        <w:rPr>
          <w:spacing w:val="-3"/>
        </w:rPr>
        <w:t>Los estatutos sociales podrán establecer que la impugnación de los acuerdos sociales por los socios o administradores quede sometida a arbitraje a administrar por una institución arbitral.</w:t>
      </w:r>
    </w:p>
    <w:p w14:paraId="02EEF8C1" w14:textId="48A90486" w:rsidR="00976E3A" w:rsidRDefault="00976E3A" w:rsidP="00FC2821">
      <w:pPr>
        <w:spacing w:before="120" w:after="120" w:line="360" w:lineRule="auto"/>
        <w:ind w:firstLine="708"/>
        <w:jc w:val="both"/>
        <w:rPr>
          <w:spacing w:val="-3"/>
        </w:rPr>
      </w:pPr>
    </w:p>
    <w:p w14:paraId="171F5DE0" w14:textId="29612202" w:rsidR="00BF2CCF" w:rsidRDefault="00BF2CCF" w:rsidP="00FC2821">
      <w:pPr>
        <w:spacing w:before="120" w:after="120" w:line="360" w:lineRule="auto"/>
        <w:ind w:firstLine="708"/>
        <w:jc w:val="both"/>
        <w:rPr>
          <w:spacing w:val="-3"/>
        </w:rPr>
      </w:pPr>
    </w:p>
    <w:p w14:paraId="0E627315" w14:textId="77777777" w:rsidR="00BF2CCF" w:rsidRPr="00FC2821" w:rsidRDefault="00BF2CCF" w:rsidP="00FC2821">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744F9A6F" w:rsidR="005726E8" w:rsidRPr="00FF4CC7" w:rsidRDefault="003F2A91" w:rsidP="003B1331">
      <w:pPr>
        <w:spacing w:before="120" w:after="120" w:line="360" w:lineRule="auto"/>
        <w:ind w:firstLine="708"/>
        <w:jc w:val="right"/>
        <w:rPr>
          <w:spacing w:val="-3"/>
        </w:rPr>
      </w:pPr>
      <w:r>
        <w:rPr>
          <w:spacing w:val="-3"/>
        </w:rPr>
        <w:t>31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8CA82B" w14:textId="77777777" w:rsidR="007C534A" w:rsidRDefault="007C534A" w:rsidP="00DB250B">
      <w:r>
        <w:separator/>
      </w:r>
    </w:p>
  </w:endnote>
  <w:endnote w:type="continuationSeparator" w:id="0">
    <w:p w14:paraId="6178E188" w14:textId="77777777" w:rsidR="007C534A" w:rsidRDefault="007C534A"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51CFEA51" w14:textId="63D49567" w:rsidR="001136E1" w:rsidRDefault="001136E1" w:rsidP="004302A2">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77FD6F" w14:textId="77777777" w:rsidR="007C534A" w:rsidRDefault="007C534A" w:rsidP="00DB250B">
      <w:r>
        <w:separator/>
      </w:r>
    </w:p>
  </w:footnote>
  <w:footnote w:type="continuationSeparator" w:id="0">
    <w:p w14:paraId="61E89F33" w14:textId="77777777" w:rsidR="007C534A" w:rsidRDefault="007C534A"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60A01136" w:rsidR="001136E1" w:rsidRDefault="001136E1">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47E08B6"/>
    <w:multiLevelType w:val="hybridMultilevel"/>
    <w:tmpl w:val="A5A2A4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6521C68"/>
    <w:multiLevelType w:val="multilevel"/>
    <w:tmpl w:val="A2B8130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90C375A"/>
    <w:multiLevelType w:val="hybridMultilevel"/>
    <w:tmpl w:val="89260B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A8C5579"/>
    <w:multiLevelType w:val="hybridMultilevel"/>
    <w:tmpl w:val="9490CA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C7F2008"/>
    <w:multiLevelType w:val="hybridMultilevel"/>
    <w:tmpl w:val="10C6CF3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D4B203C"/>
    <w:multiLevelType w:val="hybridMultilevel"/>
    <w:tmpl w:val="92C4E5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0F810245"/>
    <w:multiLevelType w:val="hybridMultilevel"/>
    <w:tmpl w:val="8D628D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3765378"/>
    <w:multiLevelType w:val="hybridMultilevel"/>
    <w:tmpl w:val="F13C36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3A6007E"/>
    <w:multiLevelType w:val="hybridMultilevel"/>
    <w:tmpl w:val="067874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828660C"/>
    <w:multiLevelType w:val="hybridMultilevel"/>
    <w:tmpl w:val="60F88A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8540062"/>
    <w:multiLevelType w:val="hybridMultilevel"/>
    <w:tmpl w:val="C0B460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B3D27B4"/>
    <w:multiLevelType w:val="hybridMultilevel"/>
    <w:tmpl w:val="D8F23E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09822FE"/>
    <w:multiLevelType w:val="hybridMultilevel"/>
    <w:tmpl w:val="41A61072"/>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35C316E"/>
    <w:multiLevelType w:val="hybridMultilevel"/>
    <w:tmpl w:val="13864C3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8631C30"/>
    <w:multiLevelType w:val="hybridMultilevel"/>
    <w:tmpl w:val="0CD820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A646B60"/>
    <w:multiLevelType w:val="hybridMultilevel"/>
    <w:tmpl w:val="1A8CAE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AD43422"/>
    <w:multiLevelType w:val="hybridMultilevel"/>
    <w:tmpl w:val="940895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2D8A448B"/>
    <w:multiLevelType w:val="multilevel"/>
    <w:tmpl w:val="A2B8130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9" w15:restartNumberingAfterBreak="0">
    <w:nsid w:val="2E1E6873"/>
    <w:multiLevelType w:val="hybridMultilevel"/>
    <w:tmpl w:val="7FF201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2EED734A"/>
    <w:multiLevelType w:val="hybridMultilevel"/>
    <w:tmpl w:val="7B82A2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7823598"/>
    <w:multiLevelType w:val="hybridMultilevel"/>
    <w:tmpl w:val="A2B8130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807180D"/>
    <w:multiLevelType w:val="hybridMultilevel"/>
    <w:tmpl w:val="BCD4A1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1650B54"/>
    <w:multiLevelType w:val="hybridMultilevel"/>
    <w:tmpl w:val="B02AB6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9BB5981"/>
    <w:multiLevelType w:val="hybridMultilevel"/>
    <w:tmpl w:val="07E412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5B00282"/>
    <w:multiLevelType w:val="hybridMultilevel"/>
    <w:tmpl w:val="D196DE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A2B62BB"/>
    <w:multiLevelType w:val="multilevel"/>
    <w:tmpl w:val="A5A2A4F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66504D6F"/>
    <w:multiLevelType w:val="hybridMultilevel"/>
    <w:tmpl w:val="BCCA2C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B08725D"/>
    <w:multiLevelType w:val="hybridMultilevel"/>
    <w:tmpl w:val="582034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B8237D0"/>
    <w:multiLevelType w:val="hybridMultilevel"/>
    <w:tmpl w:val="AA340E6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02D3EFA"/>
    <w:multiLevelType w:val="hybridMultilevel"/>
    <w:tmpl w:val="9AF4EE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7DAC7766"/>
    <w:multiLevelType w:val="hybridMultilevel"/>
    <w:tmpl w:val="CBE6C2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436412933">
    <w:abstractNumId w:val="0"/>
  </w:num>
  <w:num w:numId="2" w16cid:durableId="120416786">
    <w:abstractNumId w:val="7"/>
  </w:num>
  <w:num w:numId="3" w16cid:durableId="85922553">
    <w:abstractNumId w:val="21"/>
  </w:num>
  <w:num w:numId="4" w16cid:durableId="313723038">
    <w:abstractNumId w:val="2"/>
  </w:num>
  <w:num w:numId="5" w16cid:durableId="56974869">
    <w:abstractNumId w:val="14"/>
  </w:num>
  <w:num w:numId="6" w16cid:durableId="1158114861">
    <w:abstractNumId w:val="18"/>
  </w:num>
  <w:num w:numId="7" w16cid:durableId="1645548663">
    <w:abstractNumId w:val="9"/>
  </w:num>
  <w:num w:numId="8" w16cid:durableId="1811552668">
    <w:abstractNumId w:val="16"/>
  </w:num>
  <w:num w:numId="9" w16cid:durableId="1253972285">
    <w:abstractNumId w:val="3"/>
  </w:num>
  <w:num w:numId="10" w16cid:durableId="1616012194">
    <w:abstractNumId w:val="6"/>
  </w:num>
  <w:num w:numId="11" w16cid:durableId="2112433351">
    <w:abstractNumId w:val="19"/>
  </w:num>
  <w:num w:numId="12" w16cid:durableId="87968366">
    <w:abstractNumId w:val="22"/>
  </w:num>
  <w:num w:numId="13" w16cid:durableId="1657996628">
    <w:abstractNumId w:val="15"/>
  </w:num>
  <w:num w:numId="14" w16cid:durableId="980235628">
    <w:abstractNumId w:val="25"/>
  </w:num>
  <w:num w:numId="15" w16cid:durableId="1820220286">
    <w:abstractNumId w:val="10"/>
  </w:num>
  <w:num w:numId="16" w16cid:durableId="186259772">
    <w:abstractNumId w:val="1"/>
  </w:num>
  <w:num w:numId="17" w16cid:durableId="1928074075">
    <w:abstractNumId w:val="28"/>
  </w:num>
  <w:num w:numId="18" w16cid:durableId="1532839153">
    <w:abstractNumId w:val="26"/>
  </w:num>
  <w:num w:numId="19" w16cid:durableId="299844058">
    <w:abstractNumId w:val="13"/>
  </w:num>
  <w:num w:numId="20" w16cid:durableId="1578898627">
    <w:abstractNumId w:val="23"/>
  </w:num>
  <w:num w:numId="21" w16cid:durableId="1173908412">
    <w:abstractNumId w:val="12"/>
  </w:num>
  <w:num w:numId="22" w16cid:durableId="491331370">
    <w:abstractNumId w:val="11"/>
  </w:num>
  <w:num w:numId="23" w16cid:durableId="485629625">
    <w:abstractNumId w:val="8"/>
  </w:num>
  <w:num w:numId="24" w16cid:durableId="37895844">
    <w:abstractNumId w:val="27"/>
  </w:num>
  <w:num w:numId="25" w16cid:durableId="248659365">
    <w:abstractNumId w:val="20"/>
  </w:num>
  <w:num w:numId="26" w16cid:durableId="315456904">
    <w:abstractNumId w:val="30"/>
  </w:num>
  <w:num w:numId="27" w16cid:durableId="866680349">
    <w:abstractNumId w:val="31"/>
  </w:num>
  <w:num w:numId="28" w16cid:durableId="1657565196">
    <w:abstractNumId w:val="17"/>
  </w:num>
  <w:num w:numId="29" w16cid:durableId="883098722">
    <w:abstractNumId w:val="5"/>
  </w:num>
  <w:num w:numId="30" w16cid:durableId="396780706">
    <w:abstractNumId w:val="4"/>
  </w:num>
  <w:num w:numId="31" w16cid:durableId="474951859">
    <w:abstractNumId w:val="24"/>
  </w:num>
  <w:num w:numId="32" w16cid:durableId="1153792770">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4F8E"/>
    <w:rsid w:val="000054B5"/>
    <w:rsid w:val="00005760"/>
    <w:rsid w:val="000062B4"/>
    <w:rsid w:val="00006A81"/>
    <w:rsid w:val="00006D58"/>
    <w:rsid w:val="000074E5"/>
    <w:rsid w:val="000074F6"/>
    <w:rsid w:val="00007EAC"/>
    <w:rsid w:val="00010610"/>
    <w:rsid w:val="00010C21"/>
    <w:rsid w:val="000114C3"/>
    <w:rsid w:val="000118B3"/>
    <w:rsid w:val="000119E1"/>
    <w:rsid w:val="0001254E"/>
    <w:rsid w:val="00012669"/>
    <w:rsid w:val="00012D12"/>
    <w:rsid w:val="0001313D"/>
    <w:rsid w:val="00013485"/>
    <w:rsid w:val="00013861"/>
    <w:rsid w:val="00013987"/>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0A9"/>
    <w:rsid w:val="000322D8"/>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1A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63B"/>
    <w:rsid w:val="00052737"/>
    <w:rsid w:val="00052A37"/>
    <w:rsid w:val="00052A6B"/>
    <w:rsid w:val="00052F63"/>
    <w:rsid w:val="00052FCB"/>
    <w:rsid w:val="00053142"/>
    <w:rsid w:val="00053C53"/>
    <w:rsid w:val="00053CAF"/>
    <w:rsid w:val="000546BB"/>
    <w:rsid w:val="00054EBE"/>
    <w:rsid w:val="00054F74"/>
    <w:rsid w:val="0005513E"/>
    <w:rsid w:val="0005535F"/>
    <w:rsid w:val="00055376"/>
    <w:rsid w:val="00055765"/>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36F"/>
    <w:rsid w:val="00065417"/>
    <w:rsid w:val="000666B1"/>
    <w:rsid w:val="00066754"/>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63A"/>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0773A"/>
    <w:rsid w:val="00110B49"/>
    <w:rsid w:val="00110BA7"/>
    <w:rsid w:val="001113B0"/>
    <w:rsid w:val="001113F7"/>
    <w:rsid w:val="0011152E"/>
    <w:rsid w:val="00111605"/>
    <w:rsid w:val="00111A76"/>
    <w:rsid w:val="00111E7C"/>
    <w:rsid w:val="00112306"/>
    <w:rsid w:val="001127A9"/>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7C"/>
    <w:rsid w:val="00123FF1"/>
    <w:rsid w:val="001246BC"/>
    <w:rsid w:val="00124838"/>
    <w:rsid w:val="00124913"/>
    <w:rsid w:val="00125B22"/>
    <w:rsid w:val="00125E60"/>
    <w:rsid w:val="00126364"/>
    <w:rsid w:val="0012663B"/>
    <w:rsid w:val="00126E0C"/>
    <w:rsid w:val="001272CA"/>
    <w:rsid w:val="0012740B"/>
    <w:rsid w:val="0012765D"/>
    <w:rsid w:val="00127AF6"/>
    <w:rsid w:val="00127F86"/>
    <w:rsid w:val="0013001F"/>
    <w:rsid w:val="0013002F"/>
    <w:rsid w:val="001310BD"/>
    <w:rsid w:val="00131327"/>
    <w:rsid w:val="0013142E"/>
    <w:rsid w:val="00131861"/>
    <w:rsid w:val="00131BC9"/>
    <w:rsid w:val="001320EB"/>
    <w:rsid w:val="00132117"/>
    <w:rsid w:val="00132370"/>
    <w:rsid w:val="00132594"/>
    <w:rsid w:val="0013274D"/>
    <w:rsid w:val="001332EB"/>
    <w:rsid w:val="001332ED"/>
    <w:rsid w:val="00133C73"/>
    <w:rsid w:val="00134D78"/>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B9"/>
    <w:rsid w:val="00147182"/>
    <w:rsid w:val="001478F9"/>
    <w:rsid w:val="001500C3"/>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DCD"/>
    <w:rsid w:val="00156A97"/>
    <w:rsid w:val="00157172"/>
    <w:rsid w:val="00157318"/>
    <w:rsid w:val="00157336"/>
    <w:rsid w:val="00157DC8"/>
    <w:rsid w:val="00157EF1"/>
    <w:rsid w:val="00157EFB"/>
    <w:rsid w:val="00160669"/>
    <w:rsid w:val="00160DD0"/>
    <w:rsid w:val="00160E8C"/>
    <w:rsid w:val="00161357"/>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DF8"/>
    <w:rsid w:val="00166F05"/>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50E"/>
    <w:rsid w:val="001767F2"/>
    <w:rsid w:val="00176AC1"/>
    <w:rsid w:val="00176EEA"/>
    <w:rsid w:val="001774D0"/>
    <w:rsid w:val="001777CA"/>
    <w:rsid w:val="00177F1B"/>
    <w:rsid w:val="001802CA"/>
    <w:rsid w:val="00180A8C"/>
    <w:rsid w:val="00180BBD"/>
    <w:rsid w:val="00180DAE"/>
    <w:rsid w:val="00181369"/>
    <w:rsid w:val="001819B5"/>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3E0"/>
    <w:rsid w:val="00185B36"/>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701"/>
    <w:rsid w:val="001B1838"/>
    <w:rsid w:val="001B1F05"/>
    <w:rsid w:val="001B2BE8"/>
    <w:rsid w:val="001B2C0A"/>
    <w:rsid w:val="001B2E48"/>
    <w:rsid w:val="001B2F9A"/>
    <w:rsid w:val="001B3506"/>
    <w:rsid w:val="001B39C9"/>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AA1"/>
    <w:rsid w:val="001D3B2F"/>
    <w:rsid w:val="001D3CF6"/>
    <w:rsid w:val="001D3DF0"/>
    <w:rsid w:val="001D49CB"/>
    <w:rsid w:val="001D4AD7"/>
    <w:rsid w:val="001D528D"/>
    <w:rsid w:val="001D5296"/>
    <w:rsid w:val="001D58B4"/>
    <w:rsid w:val="001D6023"/>
    <w:rsid w:val="001D6886"/>
    <w:rsid w:val="001D696A"/>
    <w:rsid w:val="001D6A22"/>
    <w:rsid w:val="001D74FC"/>
    <w:rsid w:val="001D7581"/>
    <w:rsid w:val="001D7724"/>
    <w:rsid w:val="001D7CF0"/>
    <w:rsid w:val="001D7EBC"/>
    <w:rsid w:val="001E0128"/>
    <w:rsid w:val="001E03C6"/>
    <w:rsid w:val="001E0E2C"/>
    <w:rsid w:val="001E119B"/>
    <w:rsid w:val="001E1301"/>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F03"/>
    <w:rsid w:val="001F028A"/>
    <w:rsid w:val="001F1291"/>
    <w:rsid w:val="001F1607"/>
    <w:rsid w:val="001F1974"/>
    <w:rsid w:val="001F19F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8CE"/>
    <w:rsid w:val="001F79CB"/>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3025"/>
    <w:rsid w:val="0020314C"/>
    <w:rsid w:val="00203507"/>
    <w:rsid w:val="00203D8B"/>
    <w:rsid w:val="00204285"/>
    <w:rsid w:val="00204CB4"/>
    <w:rsid w:val="0020503A"/>
    <w:rsid w:val="0020508A"/>
    <w:rsid w:val="0020535F"/>
    <w:rsid w:val="00205777"/>
    <w:rsid w:val="00205782"/>
    <w:rsid w:val="00205C48"/>
    <w:rsid w:val="00205FBF"/>
    <w:rsid w:val="0020612E"/>
    <w:rsid w:val="002065CC"/>
    <w:rsid w:val="002065D9"/>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6A9"/>
    <w:rsid w:val="002216C3"/>
    <w:rsid w:val="002216DE"/>
    <w:rsid w:val="0022176E"/>
    <w:rsid w:val="00221ACE"/>
    <w:rsid w:val="002227A2"/>
    <w:rsid w:val="00222A91"/>
    <w:rsid w:val="00222F52"/>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0D8"/>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C98"/>
    <w:rsid w:val="00252CBC"/>
    <w:rsid w:val="0025309F"/>
    <w:rsid w:val="00253108"/>
    <w:rsid w:val="002534CB"/>
    <w:rsid w:val="002535EE"/>
    <w:rsid w:val="00253B5F"/>
    <w:rsid w:val="00254074"/>
    <w:rsid w:val="002555A7"/>
    <w:rsid w:val="00256479"/>
    <w:rsid w:val="00256F46"/>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889"/>
    <w:rsid w:val="002678FB"/>
    <w:rsid w:val="00270660"/>
    <w:rsid w:val="00270740"/>
    <w:rsid w:val="002712C5"/>
    <w:rsid w:val="00271966"/>
    <w:rsid w:val="00271B60"/>
    <w:rsid w:val="00271C44"/>
    <w:rsid w:val="00271E8D"/>
    <w:rsid w:val="00272019"/>
    <w:rsid w:val="0027221E"/>
    <w:rsid w:val="002723AE"/>
    <w:rsid w:val="002737B0"/>
    <w:rsid w:val="002742E2"/>
    <w:rsid w:val="00274641"/>
    <w:rsid w:val="002748C0"/>
    <w:rsid w:val="00274E8E"/>
    <w:rsid w:val="00275081"/>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7F5"/>
    <w:rsid w:val="00281829"/>
    <w:rsid w:val="00281F35"/>
    <w:rsid w:val="00281F44"/>
    <w:rsid w:val="00281FDD"/>
    <w:rsid w:val="0028209E"/>
    <w:rsid w:val="0028235B"/>
    <w:rsid w:val="00282E9C"/>
    <w:rsid w:val="002830B1"/>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F5A"/>
    <w:rsid w:val="002953A6"/>
    <w:rsid w:val="00295625"/>
    <w:rsid w:val="00295BA1"/>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EF"/>
    <w:rsid w:val="002A32D9"/>
    <w:rsid w:val="002A33A9"/>
    <w:rsid w:val="002A3BE4"/>
    <w:rsid w:val="002A3DC4"/>
    <w:rsid w:val="002A3FD4"/>
    <w:rsid w:val="002A4264"/>
    <w:rsid w:val="002A4837"/>
    <w:rsid w:val="002A4E34"/>
    <w:rsid w:val="002A5025"/>
    <w:rsid w:val="002A59C4"/>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367"/>
    <w:rsid w:val="002B5C3F"/>
    <w:rsid w:val="002B61AC"/>
    <w:rsid w:val="002B6714"/>
    <w:rsid w:val="002B6A9B"/>
    <w:rsid w:val="002B6EC4"/>
    <w:rsid w:val="002B7412"/>
    <w:rsid w:val="002B744F"/>
    <w:rsid w:val="002B751A"/>
    <w:rsid w:val="002C05C7"/>
    <w:rsid w:val="002C0C89"/>
    <w:rsid w:val="002C0CFD"/>
    <w:rsid w:val="002C15F8"/>
    <w:rsid w:val="002C19F5"/>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6E0"/>
    <w:rsid w:val="002D7741"/>
    <w:rsid w:val="002D7FD0"/>
    <w:rsid w:val="002E0C1E"/>
    <w:rsid w:val="002E0D9D"/>
    <w:rsid w:val="002E1343"/>
    <w:rsid w:val="002E15CE"/>
    <w:rsid w:val="002E1EB3"/>
    <w:rsid w:val="002E2556"/>
    <w:rsid w:val="002E3105"/>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A50"/>
    <w:rsid w:val="00324D72"/>
    <w:rsid w:val="003250CF"/>
    <w:rsid w:val="00325144"/>
    <w:rsid w:val="00325591"/>
    <w:rsid w:val="003260BD"/>
    <w:rsid w:val="0032615D"/>
    <w:rsid w:val="00326522"/>
    <w:rsid w:val="00326ABD"/>
    <w:rsid w:val="00326CCB"/>
    <w:rsid w:val="00327721"/>
    <w:rsid w:val="003277F1"/>
    <w:rsid w:val="00327D53"/>
    <w:rsid w:val="00327F1A"/>
    <w:rsid w:val="00327FEF"/>
    <w:rsid w:val="0033024E"/>
    <w:rsid w:val="003304B7"/>
    <w:rsid w:val="0033072C"/>
    <w:rsid w:val="00330749"/>
    <w:rsid w:val="0033093B"/>
    <w:rsid w:val="00330E03"/>
    <w:rsid w:val="003314D7"/>
    <w:rsid w:val="0033167C"/>
    <w:rsid w:val="00331975"/>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C1C"/>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3D0"/>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5484"/>
    <w:rsid w:val="00355573"/>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C8F"/>
    <w:rsid w:val="003663E8"/>
    <w:rsid w:val="00366539"/>
    <w:rsid w:val="00366A96"/>
    <w:rsid w:val="00366F0F"/>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3B01"/>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3AA"/>
    <w:rsid w:val="003A15BE"/>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1331"/>
    <w:rsid w:val="003B1332"/>
    <w:rsid w:val="003B1662"/>
    <w:rsid w:val="003B1B39"/>
    <w:rsid w:val="003B1C26"/>
    <w:rsid w:val="003B1C83"/>
    <w:rsid w:val="003B24E3"/>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F48"/>
    <w:rsid w:val="003E397A"/>
    <w:rsid w:val="003E3F12"/>
    <w:rsid w:val="003E410F"/>
    <w:rsid w:val="003E4219"/>
    <w:rsid w:val="003E448C"/>
    <w:rsid w:val="003E4881"/>
    <w:rsid w:val="003E4B06"/>
    <w:rsid w:val="003E4B37"/>
    <w:rsid w:val="003E5D46"/>
    <w:rsid w:val="003E5F29"/>
    <w:rsid w:val="003E6928"/>
    <w:rsid w:val="003E6A86"/>
    <w:rsid w:val="003E6C22"/>
    <w:rsid w:val="003E74E5"/>
    <w:rsid w:val="003E7672"/>
    <w:rsid w:val="003E7A53"/>
    <w:rsid w:val="003E7D5F"/>
    <w:rsid w:val="003F04A7"/>
    <w:rsid w:val="003F0892"/>
    <w:rsid w:val="003F0BD6"/>
    <w:rsid w:val="003F1241"/>
    <w:rsid w:val="003F1284"/>
    <w:rsid w:val="003F13B3"/>
    <w:rsid w:val="003F181B"/>
    <w:rsid w:val="003F1ED0"/>
    <w:rsid w:val="003F2162"/>
    <w:rsid w:val="003F2270"/>
    <w:rsid w:val="003F23DE"/>
    <w:rsid w:val="003F2746"/>
    <w:rsid w:val="003F2A91"/>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7299"/>
    <w:rsid w:val="00427565"/>
    <w:rsid w:val="004279FA"/>
    <w:rsid w:val="00427D86"/>
    <w:rsid w:val="004302A2"/>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4FAB"/>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FF0"/>
    <w:rsid w:val="00472666"/>
    <w:rsid w:val="00472960"/>
    <w:rsid w:val="00473B22"/>
    <w:rsid w:val="00473B84"/>
    <w:rsid w:val="00474161"/>
    <w:rsid w:val="0047447B"/>
    <w:rsid w:val="0047464C"/>
    <w:rsid w:val="00474A1E"/>
    <w:rsid w:val="00474A43"/>
    <w:rsid w:val="00474EC9"/>
    <w:rsid w:val="00475082"/>
    <w:rsid w:val="00475496"/>
    <w:rsid w:val="00475500"/>
    <w:rsid w:val="004758FA"/>
    <w:rsid w:val="00475A1A"/>
    <w:rsid w:val="00475BD5"/>
    <w:rsid w:val="004768FB"/>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25A"/>
    <w:rsid w:val="004934BF"/>
    <w:rsid w:val="004939BC"/>
    <w:rsid w:val="004939C8"/>
    <w:rsid w:val="00493C86"/>
    <w:rsid w:val="00494746"/>
    <w:rsid w:val="004947E1"/>
    <w:rsid w:val="0049526F"/>
    <w:rsid w:val="004959C6"/>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28D"/>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A780E"/>
    <w:rsid w:val="004B0308"/>
    <w:rsid w:val="004B0586"/>
    <w:rsid w:val="004B0B18"/>
    <w:rsid w:val="004B0B94"/>
    <w:rsid w:val="004B0F62"/>
    <w:rsid w:val="004B16A9"/>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2E3"/>
    <w:rsid w:val="004B6559"/>
    <w:rsid w:val="004B6582"/>
    <w:rsid w:val="004B66D7"/>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15A6"/>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CD8"/>
    <w:rsid w:val="004D4E12"/>
    <w:rsid w:val="004D5084"/>
    <w:rsid w:val="004D60C5"/>
    <w:rsid w:val="004D62F1"/>
    <w:rsid w:val="004D6646"/>
    <w:rsid w:val="004D670A"/>
    <w:rsid w:val="004D69B0"/>
    <w:rsid w:val="004D6E81"/>
    <w:rsid w:val="004D71DF"/>
    <w:rsid w:val="004D7779"/>
    <w:rsid w:val="004D7B30"/>
    <w:rsid w:val="004D7E23"/>
    <w:rsid w:val="004E053B"/>
    <w:rsid w:val="004E0F0D"/>
    <w:rsid w:val="004E14F3"/>
    <w:rsid w:val="004E1C64"/>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77"/>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5658"/>
    <w:rsid w:val="00515A20"/>
    <w:rsid w:val="00515B10"/>
    <w:rsid w:val="0051632F"/>
    <w:rsid w:val="0051713D"/>
    <w:rsid w:val="005172CA"/>
    <w:rsid w:val="005177FB"/>
    <w:rsid w:val="005178EE"/>
    <w:rsid w:val="005179E1"/>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5506"/>
    <w:rsid w:val="00526097"/>
    <w:rsid w:val="0052625B"/>
    <w:rsid w:val="0052697A"/>
    <w:rsid w:val="00527031"/>
    <w:rsid w:val="005277DE"/>
    <w:rsid w:val="00527800"/>
    <w:rsid w:val="00527A54"/>
    <w:rsid w:val="00527DED"/>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2F9"/>
    <w:rsid w:val="00551744"/>
    <w:rsid w:val="005517E9"/>
    <w:rsid w:val="00552351"/>
    <w:rsid w:val="0055236B"/>
    <w:rsid w:val="0055244A"/>
    <w:rsid w:val="005527D9"/>
    <w:rsid w:val="00552C9A"/>
    <w:rsid w:val="00552CBB"/>
    <w:rsid w:val="00553337"/>
    <w:rsid w:val="0055365D"/>
    <w:rsid w:val="0055422A"/>
    <w:rsid w:val="00554722"/>
    <w:rsid w:val="00554911"/>
    <w:rsid w:val="00554A70"/>
    <w:rsid w:val="00554B09"/>
    <w:rsid w:val="00554D93"/>
    <w:rsid w:val="00555028"/>
    <w:rsid w:val="00555CCE"/>
    <w:rsid w:val="005561AA"/>
    <w:rsid w:val="00556213"/>
    <w:rsid w:val="0055665D"/>
    <w:rsid w:val="00556854"/>
    <w:rsid w:val="00556A68"/>
    <w:rsid w:val="00556D0B"/>
    <w:rsid w:val="00557554"/>
    <w:rsid w:val="0055765A"/>
    <w:rsid w:val="00557E64"/>
    <w:rsid w:val="005605C2"/>
    <w:rsid w:val="00560BBF"/>
    <w:rsid w:val="00560E20"/>
    <w:rsid w:val="00560F47"/>
    <w:rsid w:val="005611D0"/>
    <w:rsid w:val="00562469"/>
    <w:rsid w:val="0056261C"/>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D14"/>
    <w:rsid w:val="00567FED"/>
    <w:rsid w:val="00570CF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5FB"/>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DE3"/>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657"/>
    <w:rsid w:val="005967BA"/>
    <w:rsid w:val="0059722E"/>
    <w:rsid w:val="005972FA"/>
    <w:rsid w:val="0059765D"/>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907"/>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77FA"/>
    <w:rsid w:val="005C7B1A"/>
    <w:rsid w:val="005C7D9B"/>
    <w:rsid w:val="005D050D"/>
    <w:rsid w:val="005D0742"/>
    <w:rsid w:val="005D1234"/>
    <w:rsid w:val="005D23A6"/>
    <w:rsid w:val="005D25AD"/>
    <w:rsid w:val="005D294B"/>
    <w:rsid w:val="005D2C39"/>
    <w:rsid w:val="005D2CE1"/>
    <w:rsid w:val="005D31E7"/>
    <w:rsid w:val="005D3ADE"/>
    <w:rsid w:val="005D3CA4"/>
    <w:rsid w:val="005D4137"/>
    <w:rsid w:val="005D4174"/>
    <w:rsid w:val="005D4B31"/>
    <w:rsid w:val="005D54A8"/>
    <w:rsid w:val="005D5A14"/>
    <w:rsid w:val="005D5A98"/>
    <w:rsid w:val="005D5B16"/>
    <w:rsid w:val="005D6123"/>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5E"/>
    <w:rsid w:val="005F48D6"/>
    <w:rsid w:val="005F4902"/>
    <w:rsid w:val="005F4935"/>
    <w:rsid w:val="005F5064"/>
    <w:rsid w:val="005F50FC"/>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47DB"/>
    <w:rsid w:val="00605405"/>
    <w:rsid w:val="00605689"/>
    <w:rsid w:val="00605E3F"/>
    <w:rsid w:val="006060BF"/>
    <w:rsid w:val="0060629E"/>
    <w:rsid w:val="00606C43"/>
    <w:rsid w:val="00606D0C"/>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3A96"/>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228"/>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54C"/>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65C"/>
    <w:rsid w:val="0065292D"/>
    <w:rsid w:val="00652C3D"/>
    <w:rsid w:val="0065362C"/>
    <w:rsid w:val="00653872"/>
    <w:rsid w:val="00653B3F"/>
    <w:rsid w:val="00654041"/>
    <w:rsid w:val="006541CB"/>
    <w:rsid w:val="0065490B"/>
    <w:rsid w:val="00654A37"/>
    <w:rsid w:val="00654E5C"/>
    <w:rsid w:val="00655B27"/>
    <w:rsid w:val="00655C41"/>
    <w:rsid w:val="006564FE"/>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C83"/>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580"/>
    <w:rsid w:val="00680A00"/>
    <w:rsid w:val="00680F7B"/>
    <w:rsid w:val="0068105A"/>
    <w:rsid w:val="00681177"/>
    <w:rsid w:val="006813A1"/>
    <w:rsid w:val="00681FD4"/>
    <w:rsid w:val="00682391"/>
    <w:rsid w:val="00682AB0"/>
    <w:rsid w:val="00683045"/>
    <w:rsid w:val="00683ACA"/>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97F33"/>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34E"/>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B32"/>
    <w:rsid w:val="006E5E1C"/>
    <w:rsid w:val="006E5EEE"/>
    <w:rsid w:val="006E5F10"/>
    <w:rsid w:val="006E6170"/>
    <w:rsid w:val="006E6194"/>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6863"/>
    <w:rsid w:val="0070724E"/>
    <w:rsid w:val="0070739D"/>
    <w:rsid w:val="00707698"/>
    <w:rsid w:val="007079EB"/>
    <w:rsid w:val="00710421"/>
    <w:rsid w:val="00710B33"/>
    <w:rsid w:val="00710EAB"/>
    <w:rsid w:val="007113F1"/>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E6E"/>
    <w:rsid w:val="00747D53"/>
    <w:rsid w:val="00750D4D"/>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5934"/>
    <w:rsid w:val="00766107"/>
    <w:rsid w:val="00766B87"/>
    <w:rsid w:val="00766C00"/>
    <w:rsid w:val="00766C27"/>
    <w:rsid w:val="00767189"/>
    <w:rsid w:val="00767199"/>
    <w:rsid w:val="007671EC"/>
    <w:rsid w:val="0076727D"/>
    <w:rsid w:val="007672D7"/>
    <w:rsid w:val="0076768F"/>
    <w:rsid w:val="00767E7D"/>
    <w:rsid w:val="00767FB3"/>
    <w:rsid w:val="00770000"/>
    <w:rsid w:val="00770295"/>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38A3"/>
    <w:rsid w:val="00774148"/>
    <w:rsid w:val="00774274"/>
    <w:rsid w:val="00774535"/>
    <w:rsid w:val="007747BC"/>
    <w:rsid w:val="00774E16"/>
    <w:rsid w:val="00775B2F"/>
    <w:rsid w:val="00776221"/>
    <w:rsid w:val="00776917"/>
    <w:rsid w:val="00776E2E"/>
    <w:rsid w:val="00776EF9"/>
    <w:rsid w:val="0077701B"/>
    <w:rsid w:val="0077701C"/>
    <w:rsid w:val="007773E5"/>
    <w:rsid w:val="00777F1D"/>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05"/>
    <w:rsid w:val="007870E5"/>
    <w:rsid w:val="007872FF"/>
    <w:rsid w:val="00787333"/>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B49"/>
    <w:rsid w:val="007A7D37"/>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ADE"/>
    <w:rsid w:val="007C2D41"/>
    <w:rsid w:val="007C303F"/>
    <w:rsid w:val="007C3388"/>
    <w:rsid w:val="007C33FA"/>
    <w:rsid w:val="007C39F4"/>
    <w:rsid w:val="007C3A0B"/>
    <w:rsid w:val="007C3B82"/>
    <w:rsid w:val="007C41A2"/>
    <w:rsid w:val="007C41A7"/>
    <w:rsid w:val="007C41C9"/>
    <w:rsid w:val="007C534A"/>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9A8"/>
    <w:rsid w:val="007E4E72"/>
    <w:rsid w:val="007E5229"/>
    <w:rsid w:val="007E5BCD"/>
    <w:rsid w:val="007E5D21"/>
    <w:rsid w:val="007E5E15"/>
    <w:rsid w:val="007E60EA"/>
    <w:rsid w:val="007E6237"/>
    <w:rsid w:val="007E6DE2"/>
    <w:rsid w:val="007E6EB2"/>
    <w:rsid w:val="007E7722"/>
    <w:rsid w:val="007E780F"/>
    <w:rsid w:val="007E798E"/>
    <w:rsid w:val="007E7A57"/>
    <w:rsid w:val="007F06B4"/>
    <w:rsid w:val="007F093E"/>
    <w:rsid w:val="007F0D68"/>
    <w:rsid w:val="007F1CBF"/>
    <w:rsid w:val="007F30EA"/>
    <w:rsid w:val="007F35B9"/>
    <w:rsid w:val="007F4059"/>
    <w:rsid w:val="007F4B6F"/>
    <w:rsid w:val="007F4ECE"/>
    <w:rsid w:val="007F5B3C"/>
    <w:rsid w:val="007F5DEE"/>
    <w:rsid w:val="007F63C6"/>
    <w:rsid w:val="007F6811"/>
    <w:rsid w:val="007F694A"/>
    <w:rsid w:val="007F727F"/>
    <w:rsid w:val="007F74E4"/>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E3F"/>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388"/>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4D7"/>
    <w:rsid w:val="0082700E"/>
    <w:rsid w:val="00827480"/>
    <w:rsid w:val="0082767C"/>
    <w:rsid w:val="0082785C"/>
    <w:rsid w:val="0082792D"/>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0F7"/>
    <w:rsid w:val="008368CD"/>
    <w:rsid w:val="00836B56"/>
    <w:rsid w:val="0083722E"/>
    <w:rsid w:val="008372ED"/>
    <w:rsid w:val="0083794B"/>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1BE"/>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DA9"/>
    <w:rsid w:val="00886363"/>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718"/>
    <w:rsid w:val="008A18E8"/>
    <w:rsid w:val="008A1922"/>
    <w:rsid w:val="008A1DF5"/>
    <w:rsid w:val="008A2DB2"/>
    <w:rsid w:val="008A2F23"/>
    <w:rsid w:val="008A2F9E"/>
    <w:rsid w:val="008A317D"/>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C8F"/>
    <w:rsid w:val="008A6EBC"/>
    <w:rsid w:val="008A6F11"/>
    <w:rsid w:val="008A70AE"/>
    <w:rsid w:val="008A71A5"/>
    <w:rsid w:val="008A72AD"/>
    <w:rsid w:val="008A744D"/>
    <w:rsid w:val="008A7932"/>
    <w:rsid w:val="008A7ADB"/>
    <w:rsid w:val="008B03C7"/>
    <w:rsid w:val="008B0576"/>
    <w:rsid w:val="008B0791"/>
    <w:rsid w:val="008B0898"/>
    <w:rsid w:val="008B0924"/>
    <w:rsid w:val="008B099D"/>
    <w:rsid w:val="008B09DA"/>
    <w:rsid w:val="008B0B19"/>
    <w:rsid w:val="008B0D8E"/>
    <w:rsid w:val="008B1F5A"/>
    <w:rsid w:val="008B1F9F"/>
    <w:rsid w:val="008B20C7"/>
    <w:rsid w:val="008B23A5"/>
    <w:rsid w:val="008B23F3"/>
    <w:rsid w:val="008B26AD"/>
    <w:rsid w:val="008B28D7"/>
    <w:rsid w:val="008B2D18"/>
    <w:rsid w:val="008B341F"/>
    <w:rsid w:val="008B3625"/>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27"/>
    <w:rsid w:val="008C25F8"/>
    <w:rsid w:val="008C26D8"/>
    <w:rsid w:val="008C2919"/>
    <w:rsid w:val="008C2F1E"/>
    <w:rsid w:val="008C3259"/>
    <w:rsid w:val="008C36FF"/>
    <w:rsid w:val="008C3F11"/>
    <w:rsid w:val="008C40C9"/>
    <w:rsid w:val="008C4297"/>
    <w:rsid w:val="008C4459"/>
    <w:rsid w:val="008C4563"/>
    <w:rsid w:val="008C46CC"/>
    <w:rsid w:val="008C4A1A"/>
    <w:rsid w:val="008C4A85"/>
    <w:rsid w:val="008C4E57"/>
    <w:rsid w:val="008C4FC5"/>
    <w:rsid w:val="008C58FB"/>
    <w:rsid w:val="008C59FF"/>
    <w:rsid w:val="008C6369"/>
    <w:rsid w:val="008C648F"/>
    <w:rsid w:val="008C66C6"/>
    <w:rsid w:val="008C7076"/>
    <w:rsid w:val="008C727A"/>
    <w:rsid w:val="008C72B9"/>
    <w:rsid w:val="008C7A26"/>
    <w:rsid w:val="008D054E"/>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272"/>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1D3"/>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60E"/>
    <w:rsid w:val="009279CB"/>
    <w:rsid w:val="00927E6B"/>
    <w:rsid w:val="00930992"/>
    <w:rsid w:val="00930B08"/>
    <w:rsid w:val="00931041"/>
    <w:rsid w:val="00931062"/>
    <w:rsid w:val="009314E3"/>
    <w:rsid w:val="00931509"/>
    <w:rsid w:val="00931711"/>
    <w:rsid w:val="00931F3E"/>
    <w:rsid w:val="009325BA"/>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0CDD"/>
    <w:rsid w:val="00951E05"/>
    <w:rsid w:val="00952073"/>
    <w:rsid w:val="00952339"/>
    <w:rsid w:val="00952518"/>
    <w:rsid w:val="009526DE"/>
    <w:rsid w:val="00952C33"/>
    <w:rsid w:val="00953625"/>
    <w:rsid w:val="0095376E"/>
    <w:rsid w:val="0095388C"/>
    <w:rsid w:val="0095438B"/>
    <w:rsid w:val="0095451D"/>
    <w:rsid w:val="009547B1"/>
    <w:rsid w:val="00954B10"/>
    <w:rsid w:val="00955F1A"/>
    <w:rsid w:val="009562DE"/>
    <w:rsid w:val="00956421"/>
    <w:rsid w:val="00956E45"/>
    <w:rsid w:val="009574ED"/>
    <w:rsid w:val="00957651"/>
    <w:rsid w:val="0095780B"/>
    <w:rsid w:val="00957F1F"/>
    <w:rsid w:val="009600AF"/>
    <w:rsid w:val="009601F3"/>
    <w:rsid w:val="00960428"/>
    <w:rsid w:val="009608C5"/>
    <w:rsid w:val="00960C31"/>
    <w:rsid w:val="009610BE"/>
    <w:rsid w:val="00962074"/>
    <w:rsid w:val="009620DD"/>
    <w:rsid w:val="0096294F"/>
    <w:rsid w:val="009630B4"/>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A40"/>
    <w:rsid w:val="00971D93"/>
    <w:rsid w:val="00971E83"/>
    <w:rsid w:val="00972540"/>
    <w:rsid w:val="0097259F"/>
    <w:rsid w:val="0097325F"/>
    <w:rsid w:val="00973268"/>
    <w:rsid w:val="00973479"/>
    <w:rsid w:val="0097401F"/>
    <w:rsid w:val="0097408E"/>
    <w:rsid w:val="00974B30"/>
    <w:rsid w:val="00974C60"/>
    <w:rsid w:val="00975043"/>
    <w:rsid w:val="0097584E"/>
    <w:rsid w:val="00975A2B"/>
    <w:rsid w:val="00975B4F"/>
    <w:rsid w:val="009763FA"/>
    <w:rsid w:val="00976472"/>
    <w:rsid w:val="009767A0"/>
    <w:rsid w:val="00976D50"/>
    <w:rsid w:val="00976E3A"/>
    <w:rsid w:val="00976ECF"/>
    <w:rsid w:val="0097703A"/>
    <w:rsid w:val="00977274"/>
    <w:rsid w:val="0097754B"/>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4805"/>
    <w:rsid w:val="00984B69"/>
    <w:rsid w:val="00984D38"/>
    <w:rsid w:val="00985051"/>
    <w:rsid w:val="0098514E"/>
    <w:rsid w:val="009852A0"/>
    <w:rsid w:val="00985A3D"/>
    <w:rsid w:val="00985FFD"/>
    <w:rsid w:val="009860ED"/>
    <w:rsid w:val="00986626"/>
    <w:rsid w:val="009866E5"/>
    <w:rsid w:val="00986A37"/>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3A9"/>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A36"/>
    <w:rsid w:val="009A6F6E"/>
    <w:rsid w:val="009A73B0"/>
    <w:rsid w:val="009A78FA"/>
    <w:rsid w:val="009A7C92"/>
    <w:rsid w:val="009B013A"/>
    <w:rsid w:val="009B07B0"/>
    <w:rsid w:val="009B0D02"/>
    <w:rsid w:val="009B0FAB"/>
    <w:rsid w:val="009B11F1"/>
    <w:rsid w:val="009B12C1"/>
    <w:rsid w:val="009B1394"/>
    <w:rsid w:val="009B14C3"/>
    <w:rsid w:val="009B181F"/>
    <w:rsid w:val="009B1ED8"/>
    <w:rsid w:val="009B231C"/>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5C7"/>
    <w:rsid w:val="009C0738"/>
    <w:rsid w:val="009C0A8C"/>
    <w:rsid w:val="009C0F63"/>
    <w:rsid w:val="009C1297"/>
    <w:rsid w:val="009C1442"/>
    <w:rsid w:val="009C1477"/>
    <w:rsid w:val="009C1521"/>
    <w:rsid w:val="009C154A"/>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21B9"/>
    <w:rsid w:val="009D2A1C"/>
    <w:rsid w:val="009D3108"/>
    <w:rsid w:val="009D3173"/>
    <w:rsid w:val="009D3FF4"/>
    <w:rsid w:val="009D430A"/>
    <w:rsid w:val="009D463E"/>
    <w:rsid w:val="009D48BA"/>
    <w:rsid w:val="009D4E55"/>
    <w:rsid w:val="009D5D98"/>
    <w:rsid w:val="009D5EC5"/>
    <w:rsid w:val="009D6002"/>
    <w:rsid w:val="009D6793"/>
    <w:rsid w:val="009D69EC"/>
    <w:rsid w:val="009D6E2D"/>
    <w:rsid w:val="009D7AFC"/>
    <w:rsid w:val="009D7CA5"/>
    <w:rsid w:val="009E0525"/>
    <w:rsid w:val="009E0A6D"/>
    <w:rsid w:val="009E0C76"/>
    <w:rsid w:val="009E1200"/>
    <w:rsid w:val="009E14C7"/>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9A2"/>
    <w:rsid w:val="009E5A48"/>
    <w:rsid w:val="009E6131"/>
    <w:rsid w:val="009E65EA"/>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BB8"/>
    <w:rsid w:val="009F4C1E"/>
    <w:rsid w:val="009F4D75"/>
    <w:rsid w:val="009F56C8"/>
    <w:rsid w:val="009F56D5"/>
    <w:rsid w:val="009F5789"/>
    <w:rsid w:val="009F5C76"/>
    <w:rsid w:val="009F5D0D"/>
    <w:rsid w:val="009F6187"/>
    <w:rsid w:val="009F626A"/>
    <w:rsid w:val="009F62BD"/>
    <w:rsid w:val="009F67F7"/>
    <w:rsid w:val="009F7344"/>
    <w:rsid w:val="009F74D1"/>
    <w:rsid w:val="009F7927"/>
    <w:rsid w:val="009F7AB1"/>
    <w:rsid w:val="00A00BB3"/>
    <w:rsid w:val="00A00D63"/>
    <w:rsid w:val="00A01530"/>
    <w:rsid w:val="00A01A63"/>
    <w:rsid w:val="00A021A2"/>
    <w:rsid w:val="00A022BD"/>
    <w:rsid w:val="00A02339"/>
    <w:rsid w:val="00A02719"/>
    <w:rsid w:val="00A02A1F"/>
    <w:rsid w:val="00A02A9C"/>
    <w:rsid w:val="00A0305F"/>
    <w:rsid w:val="00A03266"/>
    <w:rsid w:val="00A03304"/>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7EB"/>
    <w:rsid w:val="00A15A0F"/>
    <w:rsid w:val="00A15D04"/>
    <w:rsid w:val="00A16507"/>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691"/>
    <w:rsid w:val="00A468C5"/>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3B"/>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352"/>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644E"/>
    <w:rsid w:val="00A975D7"/>
    <w:rsid w:val="00A97C5A"/>
    <w:rsid w:val="00A97E99"/>
    <w:rsid w:val="00AA002F"/>
    <w:rsid w:val="00AA0DB4"/>
    <w:rsid w:val="00AA163C"/>
    <w:rsid w:val="00AA17B4"/>
    <w:rsid w:val="00AA1EDB"/>
    <w:rsid w:val="00AA2D1E"/>
    <w:rsid w:val="00AA2F94"/>
    <w:rsid w:val="00AA31E9"/>
    <w:rsid w:val="00AA3E85"/>
    <w:rsid w:val="00AA42EF"/>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A74"/>
    <w:rsid w:val="00AB431A"/>
    <w:rsid w:val="00AB489B"/>
    <w:rsid w:val="00AB505C"/>
    <w:rsid w:val="00AB51B5"/>
    <w:rsid w:val="00AB594D"/>
    <w:rsid w:val="00AB5C54"/>
    <w:rsid w:val="00AB6039"/>
    <w:rsid w:val="00AB6154"/>
    <w:rsid w:val="00AB64EB"/>
    <w:rsid w:val="00AB6D30"/>
    <w:rsid w:val="00AB70AC"/>
    <w:rsid w:val="00AB7256"/>
    <w:rsid w:val="00AB758B"/>
    <w:rsid w:val="00AB7C6D"/>
    <w:rsid w:val="00AB7FB6"/>
    <w:rsid w:val="00AC0648"/>
    <w:rsid w:val="00AC06AC"/>
    <w:rsid w:val="00AC0F8B"/>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4C69"/>
    <w:rsid w:val="00AC550D"/>
    <w:rsid w:val="00AC55BE"/>
    <w:rsid w:val="00AC57A4"/>
    <w:rsid w:val="00AC5816"/>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F01"/>
    <w:rsid w:val="00AD7F73"/>
    <w:rsid w:val="00AE023F"/>
    <w:rsid w:val="00AE0298"/>
    <w:rsid w:val="00AE0600"/>
    <w:rsid w:val="00AE08C1"/>
    <w:rsid w:val="00AE0D5C"/>
    <w:rsid w:val="00AE10D6"/>
    <w:rsid w:val="00AE137D"/>
    <w:rsid w:val="00AE17E7"/>
    <w:rsid w:val="00AE189D"/>
    <w:rsid w:val="00AE19E0"/>
    <w:rsid w:val="00AE1D86"/>
    <w:rsid w:val="00AE2705"/>
    <w:rsid w:val="00AE2B92"/>
    <w:rsid w:val="00AE3D32"/>
    <w:rsid w:val="00AE3F3D"/>
    <w:rsid w:val="00AE438D"/>
    <w:rsid w:val="00AE46B1"/>
    <w:rsid w:val="00AE4A26"/>
    <w:rsid w:val="00AE4AEC"/>
    <w:rsid w:val="00AE55A4"/>
    <w:rsid w:val="00AE5667"/>
    <w:rsid w:val="00AE618C"/>
    <w:rsid w:val="00AE6261"/>
    <w:rsid w:val="00AE646F"/>
    <w:rsid w:val="00AE66BA"/>
    <w:rsid w:val="00AE6943"/>
    <w:rsid w:val="00AE7312"/>
    <w:rsid w:val="00AE7CD6"/>
    <w:rsid w:val="00AF10B0"/>
    <w:rsid w:val="00AF1832"/>
    <w:rsid w:val="00AF1FE1"/>
    <w:rsid w:val="00AF2486"/>
    <w:rsid w:val="00AF2595"/>
    <w:rsid w:val="00AF298F"/>
    <w:rsid w:val="00AF2B1B"/>
    <w:rsid w:val="00AF2E5A"/>
    <w:rsid w:val="00AF3B78"/>
    <w:rsid w:val="00AF4031"/>
    <w:rsid w:val="00AF4D56"/>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28E"/>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356"/>
    <w:rsid w:val="00B51B1D"/>
    <w:rsid w:val="00B51BD9"/>
    <w:rsid w:val="00B52776"/>
    <w:rsid w:val="00B530BE"/>
    <w:rsid w:val="00B53F09"/>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AD8"/>
    <w:rsid w:val="00B90519"/>
    <w:rsid w:val="00B91166"/>
    <w:rsid w:val="00B91755"/>
    <w:rsid w:val="00B91DA2"/>
    <w:rsid w:val="00B91F96"/>
    <w:rsid w:val="00B92175"/>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0F54"/>
    <w:rsid w:val="00BA14BE"/>
    <w:rsid w:val="00BA16C8"/>
    <w:rsid w:val="00BA186A"/>
    <w:rsid w:val="00BA20C5"/>
    <w:rsid w:val="00BA3571"/>
    <w:rsid w:val="00BA3F77"/>
    <w:rsid w:val="00BA429A"/>
    <w:rsid w:val="00BA438C"/>
    <w:rsid w:val="00BA4996"/>
    <w:rsid w:val="00BA4B43"/>
    <w:rsid w:val="00BA4D39"/>
    <w:rsid w:val="00BA4EDB"/>
    <w:rsid w:val="00BA5615"/>
    <w:rsid w:val="00BA5A37"/>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F68"/>
    <w:rsid w:val="00BD5273"/>
    <w:rsid w:val="00BD5666"/>
    <w:rsid w:val="00BD5A7B"/>
    <w:rsid w:val="00BD5C69"/>
    <w:rsid w:val="00BD5E8B"/>
    <w:rsid w:val="00BD65E5"/>
    <w:rsid w:val="00BD68BA"/>
    <w:rsid w:val="00BD6C29"/>
    <w:rsid w:val="00BD6D42"/>
    <w:rsid w:val="00BD70D4"/>
    <w:rsid w:val="00BD7163"/>
    <w:rsid w:val="00BD7D84"/>
    <w:rsid w:val="00BE06AE"/>
    <w:rsid w:val="00BE0C98"/>
    <w:rsid w:val="00BE0D58"/>
    <w:rsid w:val="00BE101B"/>
    <w:rsid w:val="00BE1AC3"/>
    <w:rsid w:val="00BE1C4B"/>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C90"/>
    <w:rsid w:val="00BF2778"/>
    <w:rsid w:val="00BF28D3"/>
    <w:rsid w:val="00BF2BE5"/>
    <w:rsid w:val="00BF2CCF"/>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966"/>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365"/>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7383"/>
    <w:rsid w:val="00C57A81"/>
    <w:rsid w:val="00C603F4"/>
    <w:rsid w:val="00C60BDD"/>
    <w:rsid w:val="00C60D6A"/>
    <w:rsid w:val="00C611D3"/>
    <w:rsid w:val="00C61A5A"/>
    <w:rsid w:val="00C61D40"/>
    <w:rsid w:val="00C62BCD"/>
    <w:rsid w:val="00C63075"/>
    <w:rsid w:val="00C63255"/>
    <w:rsid w:val="00C63633"/>
    <w:rsid w:val="00C6383D"/>
    <w:rsid w:val="00C63997"/>
    <w:rsid w:val="00C63AC1"/>
    <w:rsid w:val="00C63B88"/>
    <w:rsid w:val="00C63C1F"/>
    <w:rsid w:val="00C64128"/>
    <w:rsid w:val="00C64327"/>
    <w:rsid w:val="00C647FB"/>
    <w:rsid w:val="00C65256"/>
    <w:rsid w:val="00C658A9"/>
    <w:rsid w:val="00C661D4"/>
    <w:rsid w:val="00C664F3"/>
    <w:rsid w:val="00C665F1"/>
    <w:rsid w:val="00C66E8A"/>
    <w:rsid w:val="00C66ED6"/>
    <w:rsid w:val="00C67268"/>
    <w:rsid w:val="00C67E74"/>
    <w:rsid w:val="00C70494"/>
    <w:rsid w:val="00C70F14"/>
    <w:rsid w:val="00C71130"/>
    <w:rsid w:val="00C71678"/>
    <w:rsid w:val="00C71C49"/>
    <w:rsid w:val="00C71EDD"/>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726F"/>
    <w:rsid w:val="00C77296"/>
    <w:rsid w:val="00C774ED"/>
    <w:rsid w:val="00C77595"/>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72CC"/>
    <w:rsid w:val="00C87320"/>
    <w:rsid w:val="00C8756C"/>
    <w:rsid w:val="00C8766E"/>
    <w:rsid w:val="00C87C37"/>
    <w:rsid w:val="00C901B3"/>
    <w:rsid w:val="00C90A38"/>
    <w:rsid w:val="00C90EA7"/>
    <w:rsid w:val="00C91937"/>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F27"/>
    <w:rsid w:val="00C9504B"/>
    <w:rsid w:val="00C9523F"/>
    <w:rsid w:val="00C9536A"/>
    <w:rsid w:val="00C95372"/>
    <w:rsid w:val="00C954C4"/>
    <w:rsid w:val="00C95641"/>
    <w:rsid w:val="00C96414"/>
    <w:rsid w:val="00C96636"/>
    <w:rsid w:val="00C96CBB"/>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400D"/>
    <w:rsid w:val="00CB4882"/>
    <w:rsid w:val="00CB48BA"/>
    <w:rsid w:val="00CB48E1"/>
    <w:rsid w:val="00CB49B3"/>
    <w:rsid w:val="00CB4A3E"/>
    <w:rsid w:val="00CB56FB"/>
    <w:rsid w:val="00CB5741"/>
    <w:rsid w:val="00CB582C"/>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7E4"/>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33E"/>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A48"/>
    <w:rsid w:val="00D14E15"/>
    <w:rsid w:val="00D14F84"/>
    <w:rsid w:val="00D15015"/>
    <w:rsid w:val="00D1580C"/>
    <w:rsid w:val="00D15A40"/>
    <w:rsid w:val="00D15E61"/>
    <w:rsid w:val="00D15F7B"/>
    <w:rsid w:val="00D161BF"/>
    <w:rsid w:val="00D172AD"/>
    <w:rsid w:val="00D173F8"/>
    <w:rsid w:val="00D17628"/>
    <w:rsid w:val="00D17726"/>
    <w:rsid w:val="00D17797"/>
    <w:rsid w:val="00D17968"/>
    <w:rsid w:val="00D17C70"/>
    <w:rsid w:val="00D17F8D"/>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75B"/>
    <w:rsid w:val="00D47B4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1B24"/>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150"/>
    <w:rsid w:val="00D7439F"/>
    <w:rsid w:val="00D74A89"/>
    <w:rsid w:val="00D74BFA"/>
    <w:rsid w:val="00D75457"/>
    <w:rsid w:val="00D754D6"/>
    <w:rsid w:val="00D759E8"/>
    <w:rsid w:val="00D75A50"/>
    <w:rsid w:val="00D75A6B"/>
    <w:rsid w:val="00D75FBB"/>
    <w:rsid w:val="00D764F0"/>
    <w:rsid w:val="00D7658A"/>
    <w:rsid w:val="00D76CB6"/>
    <w:rsid w:val="00D773D0"/>
    <w:rsid w:val="00D77CA9"/>
    <w:rsid w:val="00D77E7B"/>
    <w:rsid w:val="00D77F25"/>
    <w:rsid w:val="00D80055"/>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37B4"/>
    <w:rsid w:val="00D84381"/>
    <w:rsid w:val="00D843AD"/>
    <w:rsid w:val="00D844DB"/>
    <w:rsid w:val="00D84546"/>
    <w:rsid w:val="00D848C1"/>
    <w:rsid w:val="00D848FE"/>
    <w:rsid w:val="00D849E1"/>
    <w:rsid w:val="00D855BD"/>
    <w:rsid w:val="00D85650"/>
    <w:rsid w:val="00D856F7"/>
    <w:rsid w:val="00D8629C"/>
    <w:rsid w:val="00D865C8"/>
    <w:rsid w:val="00D86AFB"/>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2A2"/>
    <w:rsid w:val="00DB3454"/>
    <w:rsid w:val="00DB34AA"/>
    <w:rsid w:val="00DB3786"/>
    <w:rsid w:val="00DB380F"/>
    <w:rsid w:val="00DB4243"/>
    <w:rsid w:val="00DB462E"/>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6B"/>
    <w:rsid w:val="00DD037B"/>
    <w:rsid w:val="00DD0487"/>
    <w:rsid w:val="00DD0CB3"/>
    <w:rsid w:val="00DD0D1F"/>
    <w:rsid w:val="00DD0DA0"/>
    <w:rsid w:val="00DD0FCF"/>
    <w:rsid w:val="00DD1092"/>
    <w:rsid w:val="00DD18EB"/>
    <w:rsid w:val="00DD1F37"/>
    <w:rsid w:val="00DD1F58"/>
    <w:rsid w:val="00DD225B"/>
    <w:rsid w:val="00DD22B3"/>
    <w:rsid w:val="00DD23BE"/>
    <w:rsid w:val="00DD24E0"/>
    <w:rsid w:val="00DD26B3"/>
    <w:rsid w:val="00DD27DD"/>
    <w:rsid w:val="00DD2A97"/>
    <w:rsid w:val="00DD2B07"/>
    <w:rsid w:val="00DD3460"/>
    <w:rsid w:val="00DD3505"/>
    <w:rsid w:val="00DD39C4"/>
    <w:rsid w:val="00DD3E1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A6A"/>
    <w:rsid w:val="00DD6A86"/>
    <w:rsid w:val="00DD6D73"/>
    <w:rsid w:val="00DD6EE9"/>
    <w:rsid w:val="00DD7006"/>
    <w:rsid w:val="00DD7426"/>
    <w:rsid w:val="00DD7AD0"/>
    <w:rsid w:val="00DD7FF8"/>
    <w:rsid w:val="00DE0334"/>
    <w:rsid w:val="00DE05C2"/>
    <w:rsid w:val="00DE0AB2"/>
    <w:rsid w:val="00DE0F56"/>
    <w:rsid w:val="00DE126E"/>
    <w:rsid w:val="00DE1618"/>
    <w:rsid w:val="00DE1D75"/>
    <w:rsid w:val="00DE2140"/>
    <w:rsid w:val="00DE2357"/>
    <w:rsid w:val="00DE24F8"/>
    <w:rsid w:val="00DE272E"/>
    <w:rsid w:val="00DE27D2"/>
    <w:rsid w:val="00DE2967"/>
    <w:rsid w:val="00DE2A0F"/>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D7B"/>
    <w:rsid w:val="00DE6FA3"/>
    <w:rsid w:val="00DE6FE2"/>
    <w:rsid w:val="00DE70E3"/>
    <w:rsid w:val="00DE7171"/>
    <w:rsid w:val="00DE7571"/>
    <w:rsid w:val="00DE78E8"/>
    <w:rsid w:val="00DE790B"/>
    <w:rsid w:val="00DE79B1"/>
    <w:rsid w:val="00DE7ABF"/>
    <w:rsid w:val="00DE7DEA"/>
    <w:rsid w:val="00DE7E86"/>
    <w:rsid w:val="00DF03FB"/>
    <w:rsid w:val="00DF043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C1F"/>
    <w:rsid w:val="00DF7D40"/>
    <w:rsid w:val="00DF7FC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BEC"/>
    <w:rsid w:val="00E10CF2"/>
    <w:rsid w:val="00E10F59"/>
    <w:rsid w:val="00E11467"/>
    <w:rsid w:val="00E11548"/>
    <w:rsid w:val="00E1162A"/>
    <w:rsid w:val="00E117F2"/>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703"/>
    <w:rsid w:val="00E20722"/>
    <w:rsid w:val="00E2081E"/>
    <w:rsid w:val="00E20D30"/>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CB8"/>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2D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BF0"/>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CA7"/>
    <w:rsid w:val="00E52D3E"/>
    <w:rsid w:val="00E52FD5"/>
    <w:rsid w:val="00E5310E"/>
    <w:rsid w:val="00E53A3D"/>
    <w:rsid w:val="00E54651"/>
    <w:rsid w:val="00E54E79"/>
    <w:rsid w:val="00E54E91"/>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3F4"/>
    <w:rsid w:val="00E64B30"/>
    <w:rsid w:val="00E64F38"/>
    <w:rsid w:val="00E64FD3"/>
    <w:rsid w:val="00E64FFD"/>
    <w:rsid w:val="00E65319"/>
    <w:rsid w:val="00E65520"/>
    <w:rsid w:val="00E658F1"/>
    <w:rsid w:val="00E65EC4"/>
    <w:rsid w:val="00E6689E"/>
    <w:rsid w:val="00E6697B"/>
    <w:rsid w:val="00E66B22"/>
    <w:rsid w:val="00E66EB7"/>
    <w:rsid w:val="00E67801"/>
    <w:rsid w:val="00E67B88"/>
    <w:rsid w:val="00E7061C"/>
    <w:rsid w:val="00E706FF"/>
    <w:rsid w:val="00E70ABD"/>
    <w:rsid w:val="00E71395"/>
    <w:rsid w:val="00E7174C"/>
    <w:rsid w:val="00E717B6"/>
    <w:rsid w:val="00E71AAE"/>
    <w:rsid w:val="00E71AAF"/>
    <w:rsid w:val="00E71EFE"/>
    <w:rsid w:val="00E721D2"/>
    <w:rsid w:val="00E72566"/>
    <w:rsid w:val="00E72BBB"/>
    <w:rsid w:val="00E73901"/>
    <w:rsid w:val="00E7396B"/>
    <w:rsid w:val="00E73AE9"/>
    <w:rsid w:val="00E7401F"/>
    <w:rsid w:val="00E754EE"/>
    <w:rsid w:val="00E7571C"/>
    <w:rsid w:val="00E76574"/>
    <w:rsid w:val="00E7711B"/>
    <w:rsid w:val="00E772E4"/>
    <w:rsid w:val="00E77B6C"/>
    <w:rsid w:val="00E77E09"/>
    <w:rsid w:val="00E805B6"/>
    <w:rsid w:val="00E80A3B"/>
    <w:rsid w:val="00E80AA0"/>
    <w:rsid w:val="00E80B69"/>
    <w:rsid w:val="00E80BA4"/>
    <w:rsid w:val="00E80FF9"/>
    <w:rsid w:val="00E812E4"/>
    <w:rsid w:val="00E81397"/>
    <w:rsid w:val="00E813C4"/>
    <w:rsid w:val="00E816E4"/>
    <w:rsid w:val="00E817AD"/>
    <w:rsid w:val="00E81814"/>
    <w:rsid w:val="00E81E2F"/>
    <w:rsid w:val="00E81EB5"/>
    <w:rsid w:val="00E828F7"/>
    <w:rsid w:val="00E82FC6"/>
    <w:rsid w:val="00E83320"/>
    <w:rsid w:val="00E8385F"/>
    <w:rsid w:val="00E83AAE"/>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3AB"/>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A7F"/>
    <w:rsid w:val="00EC7B9E"/>
    <w:rsid w:val="00EC7D39"/>
    <w:rsid w:val="00ED139C"/>
    <w:rsid w:val="00ED16BA"/>
    <w:rsid w:val="00ED1EF0"/>
    <w:rsid w:val="00ED1FFE"/>
    <w:rsid w:val="00ED2403"/>
    <w:rsid w:val="00ED275E"/>
    <w:rsid w:val="00ED357B"/>
    <w:rsid w:val="00ED37A8"/>
    <w:rsid w:val="00ED3EC8"/>
    <w:rsid w:val="00ED4390"/>
    <w:rsid w:val="00ED43FA"/>
    <w:rsid w:val="00ED4A1E"/>
    <w:rsid w:val="00ED4BBD"/>
    <w:rsid w:val="00ED4C40"/>
    <w:rsid w:val="00ED4C71"/>
    <w:rsid w:val="00ED4CEA"/>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3E0"/>
    <w:rsid w:val="00EE3738"/>
    <w:rsid w:val="00EE3C52"/>
    <w:rsid w:val="00EE3EA7"/>
    <w:rsid w:val="00EE4335"/>
    <w:rsid w:val="00EE43E9"/>
    <w:rsid w:val="00EE52AC"/>
    <w:rsid w:val="00EE5C6F"/>
    <w:rsid w:val="00EE5DB8"/>
    <w:rsid w:val="00EE5F9D"/>
    <w:rsid w:val="00EE6270"/>
    <w:rsid w:val="00EE629D"/>
    <w:rsid w:val="00EE6644"/>
    <w:rsid w:val="00EE699A"/>
    <w:rsid w:val="00EE6ACA"/>
    <w:rsid w:val="00EE6B24"/>
    <w:rsid w:val="00EE6D9C"/>
    <w:rsid w:val="00EE702F"/>
    <w:rsid w:val="00EE7456"/>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D1B"/>
    <w:rsid w:val="00EF5286"/>
    <w:rsid w:val="00EF6417"/>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78E"/>
    <w:rsid w:val="00F10ECF"/>
    <w:rsid w:val="00F1108F"/>
    <w:rsid w:val="00F1129D"/>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93"/>
    <w:rsid w:val="00F153FB"/>
    <w:rsid w:val="00F15407"/>
    <w:rsid w:val="00F15E67"/>
    <w:rsid w:val="00F15E80"/>
    <w:rsid w:val="00F169D3"/>
    <w:rsid w:val="00F16AC5"/>
    <w:rsid w:val="00F16E1E"/>
    <w:rsid w:val="00F16F3C"/>
    <w:rsid w:val="00F17AEA"/>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1C9B"/>
    <w:rsid w:val="00F2215A"/>
    <w:rsid w:val="00F229A8"/>
    <w:rsid w:val="00F22ACA"/>
    <w:rsid w:val="00F22B71"/>
    <w:rsid w:val="00F22D71"/>
    <w:rsid w:val="00F2337B"/>
    <w:rsid w:val="00F2384A"/>
    <w:rsid w:val="00F23861"/>
    <w:rsid w:val="00F23D1F"/>
    <w:rsid w:val="00F240F8"/>
    <w:rsid w:val="00F2415C"/>
    <w:rsid w:val="00F244C9"/>
    <w:rsid w:val="00F24556"/>
    <w:rsid w:val="00F247CD"/>
    <w:rsid w:val="00F24957"/>
    <w:rsid w:val="00F24C23"/>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AA1"/>
    <w:rsid w:val="00F52B2D"/>
    <w:rsid w:val="00F52CD0"/>
    <w:rsid w:val="00F530E4"/>
    <w:rsid w:val="00F5314B"/>
    <w:rsid w:val="00F53D01"/>
    <w:rsid w:val="00F53EF0"/>
    <w:rsid w:val="00F54132"/>
    <w:rsid w:val="00F54959"/>
    <w:rsid w:val="00F549D8"/>
    <w:rsid w:val="00F5524A"/>
    <w:rsid w:val="00F556DC"/>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791"/>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2385"/>
    <w:rsid w:val="00F8281E"/>
    <w:rsid w:val="00F82A22"/>
    <w:rsid w:val="00F82E9C"/>
    <w:rsid w:val="00F8301C"/>
    <w:rsid w:val="00F83448"/>
    <w:rsid w:val="00F83929"/>
    <w:rsid w:val="00F83B6A"/>
    <w:rsid w:val="00F8491B"/>
    <w:rsid w:val="00F84A05"/>
    <w:rsid w:val="00F84EDC"/>
    <w:rsid w:val="00F853F4"/>
    <w:rsid w:val="00F854A9"/>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12C"/>
    <w:rsid w:val="00FB2D3C"/>
    <w:rsid w:val="00FB4AE3"/>
    <w:rsid w:val="00FB4ED2"/>
    <w:rsid w:val="00FB5923"/>
    <w:rsid w:val="00FB5E63"/>
    <w:rsid w:val="00FB5F47"/>
    <w:rsid w:val="00FB60CF"/>
    <w:rsid w:val="00FB6678"/>
    <w:rsid w:val="00FB6700"/>
    <w:rsid w:val="00FB6A1C"/>
    <w:rsid w:val="00FB7161"/>
    <w:rsid w:val="00FB79B1"/>
    <w:rsid w:val="00FC01D1"/>
    <w:rsid w:val="00FC0B08"/>
    <w:rsid w:val="00FC1441"/>
    <w:rsid w:val="00FC16A9"/>
    <w:rsid w:val="00FC1CB8"/>
    <w:rsid w:val="00FC1DD4"/>
    <w:rsid w:val="00FC1FEC"/>
    <w:rsid w:val="00FC238E"/>
    <w:rsid w:val="00FC246D"/>
    <w:rsid w:val="00FC2821"/>
    <w:rsid w:val="00FC2EB2"/>
    <w:rsid w:val="00FC361D"/>
    <w:rsid w:val="00FC36E8"/>
    <w:rsid w:val="00FC3724"/>
    <w:rsid w:val="00FC381B"/>
    <w:rsid w:val="00FC39A8"/>
    <w:rsid w:val="00FC3B3B"/>
    <w:rsid w:val="00FC3C0C"/>
    <w:rsid w:val="00FC3C60"/>
    <w:rsid w:val="00FC441E"/>
    <w:rsid w:val="00FC469B"/>
    <w:rsid w:val="00FC4A4E"/>
    <w:rsid w:val="00FC4A7F"/>
    <w:rsid w:val="00FC4E5D"/>
    <w:rsid w:val="00FC5433"/>
    <w:rsid w:val="00FC54DB"/>
    <w:rsid w:val="00FC5773"/>
    <w:rsid w:val="00FC5C45"/>
    <w:rsid w:val="00FC5F45"/>
    <w:rsid w:val="00FC6017"/>
    <w:rsid w:val="00FC6D07"/>
    <w:rsid w:val="00FC6DE8"/>
    <w:rsid w:val="00FC71C1"/>
    <w:rsid w:val="00FC79A0"/>
    <w:rsid w:val="00FC79B3"/>
    <w:rsid w:val="00FC7C07"/>
    <w:rsid w:val="00FC7CF9"/>
    <w:rsid w:val="00FC7DC3"/>
    <w:rsid w:val="00FD0512"/>
    <w:rsid w:val="00FD09BD"/>
    <w:rsid w:val="00FD0C70"/>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846"/>
    <w:rsid w:val="00FF1899"/>
    <w:rsid w:val="00FF1B3C"/>
    <w:rsid w:val="00FF1BD3"/>
    <w:rsid w:val="00FF2338"/>
    <w:rsid w:val="00FF2396"/>
    <w:rsid w:val="00FF30F8"/>
    <w:rsid w:val="00FF32BD"/>
    <w:rsid w:val="00FF32DE"/>
    <w:rsid w:val="00FF348F"/>
    <w:rsid w:val="00FF371B"/>
    <w:rsid w:val="00FF3CD5"/>
    <w:rsid w:val="00FF3E44"/>
    <w:rsid w:val="00FF41E9"/>
    <w:rsid w:val="00FF43BA"/>
    <w:rsid w:val="00FF49DC"/>
    <w:rsid w:val="00FF4F23"/>
    <w:rsid w:val="00FF4F31"/>
    <w:rsid w:val="00FF526B"/>
    <w:rsid w:val="00FF52CA"/>
    <w:rsid w:val="00FF52FF"/>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62696638">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9D5921-76A8-4107-94C1-1D3E659F9B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2003</TotalTime>
  <Pages>8</Pages>
  <Words>2511</Words>
  <Characters>13813</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7</cp:revision>
  <cp:lastPrinted>2021-11-27T12:17:00Z</cp:lastPrinted>
  <dcterms:created xsi:type="dcterms:W3CDTF">2021-12-31T11:58:00Z</dcterms:created>
  <dcterms:modified xsi:type="dcterms:W3CDTF">2024-08-31T12:06:00Z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